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F5A8" w14:textId="37D85E40" w:rsidR="00A60327" w:rsidRDefault="00203187" w:rsidP="002A7A7D">
      <w:pPr>
        <w:ind w:left="156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l-GR" w:eastAsia="el-GR"/>
        </w:rPr>
        <w:drawing>
          <wp:anchor distT="0" distB="0" distL="114300" distR="114300" simplePos="0" relativeHeight="251661312" behindDoc="0" locked="0" layoutInCell="1" allowOverlap="1" wp14:anchorId="44F6B92F" wp14:editId="482B1CD6">
            <wp:simplePos x="0" y="0"/>
            <wp:positionH relativeFrom="margin">
              <wp:posOffset>173719</wp:posOffset>
            </wp:positionH>
            <wp:positionV relativeFrom="margin">
              <wp:posOffset>-218207</wp:posOffset>
            </wp:positionV>
            <wp:extent cx="1043940" cy="7708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MG_NoCP_RGB_27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770890"/>
                    </a:xfrm>
                    <a:prstGeom prst="rect">
                      <a:avLst/>
                    </a:prstGeom>
                  </pic:spPr>
                </pic:pic>
              </a:graphicData>
            </a:graphic>
          </wp:anchor>
        </w:drawing>
      </w:r>
    </w:p>
    <w:p w14:paraId="4BA51D00" w14:textId="77777777" w:rsidR="00A60327" w:rsidRDefault="00A60327" w:rsidP="008E1F4D">
      <w:pPr>
        <w:ind w:left="1418"/>
        <w:rPr>
          <w:rFonts w:ascii="Times New Roman" w:eastAsia="Times New Roman" w:hAnsi="Times New Roman" w:cs="Times New Roman"/>
          <w:sz w:val="20"/>
          <w:szCs w:val="20"/>
        </w:rPr>
      </w:pPr>
    </w:p>
    <w:p w14:paraId="1856634B" w14:textId="77777777" w:rsidR="00A60327" w:rsidRDefault="00A60327" w:rsidP="008E1F4D">
      <w:pPr>
        <w:ind w:left="1418"/>
        <w:rPr>
          <w:rFonts w:ascii="Times New Roman" w:eastAsia="Times New Roman" w:hAnsi="Times New Roman" w:cs="Times New Roman"/>
          <w:sz w:val="20"/>
          <w:szCs w:val="20"/>
        </w:rPr>
      </w:pPr>
    </w:p>
    <w:p w14:paraId="452BE300" w14:textId="7C14331B" w:rsidR="00A60327" w:rsidRDefault="00353E03" w:rsidP="008E1F4D">
      <w:pPr>
        <w:ind w:left="14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l-GR" w:eastAsia="el-GR"/>
        </w:rPr>
        <mc:AlternateContent>
          <mc:Choice Requires="wps">
            <w:drawing>
              <wp:anchor distT="0" distB="0" distL="114300" distR="114300" simplePos="0" relativeHeight="251656192" behindDoc="0" locked="0" layoutInCell="1" allowOverlap="1" wp14:anchorId="3FC1C514" wp14:editId="374FD87D">
                <wp:simplePos x="0" y="0"/>
                <wp:positionH relativeFrom="column">
                  <wp:posOffset>255270</wp:posOffset>
                </wp:positionH>
                <wp:positionV relativeFrom="paragraph">
                  <wp:posOffset>6985</wp:posOffset>
                </wp:positionV>
                <wp:extent cx="3357880" cy="712470"/>
                <wp:effectExtent l="0" t="0" r="13970" b="1143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D1B6" w14:textId="77777777" w:rsidR="00FB0F01" w:rsidRPr="002E6D4F" w:rsidRDefault="00FB0F01" w:rsidP="00FB0F01">
                            <w:pPr>
                              <w:pStyle w:val="NormalWeb"/>
                              <w:shd w:val="clear" w:color="auto" w:fill="FFFFFF"/>
                              <w:spacing w:before="105" w:beforeAutospacing="0" w:after="105" w:afterAutospacing="0"/>
                              <w:textAlignment w:val="baseline"/>
                              <w:rPr>
                                <w:rFonts w:ascii="Arial" w:hAnsi="Arial" w:cs="Arial"/>
                                <w:b/>
                                <w:bCs/>
                                <w:color w:val="004E98"/>
                                <w:sz w:val="72"/>
                                <w:szCs w:val="72"/>
                                <w:lang w:val="el-GR"/>
                              </w:rPr>
                            </w:pPr>
                            <w:r w:rsidRPr="002E6D4F">
                              <w:rPr>
                                <w:rFonts w:ascii="Arial" w:hAnsi="Arial" w:cs="Arial"/>
                                <w:b/>
                                <w:bCs/>
                                <w:color w:val="004E98"/>
                                <w:sz w:val="72"/>
                                <w:szCs w:val="72"/>
                                <w:lang w:val="el-GR"/>
                              </w:rPr>
                              <w:t>Δελτίο Τύπου</w:t>
                            </w:r>
                          </w:p>
                          <w:p w14:paraId="692F090D" w14:textId="462360E3" w:rsidR="00A60327" w:rsidRPr="00CD3F26" w:rsidRDefault="00A60327">
                            <w:pPr>
                              <w:spacing w:line="1188" w:lineRule="exact"/>
                              <w:rPr>
                                <w:rFonts w:ascii="KPMG Greek Bold" w:eastAsia="KPMG Extralight" w:hAnsi="KPMG Greek Bold" w:cs="Arial"/>
                                <w:sz w:val="96"/>
                                <w:szCs w:val="96"/>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C514" id="_x0000_t202" coordsize="21600,21600" o:spt="202" path="m,l,21600r21600,l21600,xe">
                <v:stroke joinstyle="miter"/>
                <v:path gradientshapeok="t" o:connecttype="rect"/>
              </v:shapetype>
              <v:shape id="Text Box 61" o:spid="_x0000_s1026" type="#_x0000_t202" style="position:absolute;left:0;text-align:left;margin-left:20.1pt;margin-top:.55pt;width:264.4pt;height:5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" filled="f" stroked="f">
                <v:textbox inset="0,0,0,0">
                  <w:txbxContent>
                    <w:p w14:paraId="5648D1B6" w14:textId="77777777" w:rsidR="00FB0F01" w:rsidRPr="002E6D4F" w:rsidRDefault="00FB0F01" w:rsidP="00FB0F01">
                      <w:pPr>
                        <w:pStyle w:val="NormalWeb"/>
                        <w:shd w:val="clear" w:color="auto" w:fill="FFFFFF"/>
                        <w:spacing w:before="105" w:beforeAutospacing="0" w:after="105" w:afterAutospacing="0"/>
                        <w:textAlignment w:val="baseline"/>
                        <w:rPr>
                          <w:rFonts w:ascii="Arial" w:hAnsi="Arial" w:cs="Arial"/>
                          <w:b/>
                          <w:bCs/>
                          <w:color w:val="004E98"/>
                          <w:sz w:val="72"/>
                          <w:szCs w:val="72"/>
                          <w:lang w:val="el-GR"/>
                        </w:rPr>
                      </w:pPr>
                      <w:r w:rsidRPr="002E6D4F">
                        <w:rPr>
                          <w:rFonts w:ascii="Arial" w:hAnsi="Arial" w:cs="Arial"/>
                          <w:b/>
                          <w:bCs/>
                          <w:color w:val="004E98"/>
                          <w:sz w:val="72"/>
                          <w:szCs w:val="72"/>
                          <w:lang w:val="el-GR"/>
                        </w:rPr>
                        <w:t>Δελτίο Τύπου</w:t>
                      </w:r>
                    </w:p>
                    <w:p w14:paraId="692F090D" w14:textId="462360E3" w:rsidR="00A60327" w:rsidRPr="00CD3F26" w:rsidRDefault="00A60327">
                      <w:pPr>
                        <w:spacing w:line="1188" w:lineRule="exact"/>
                        <w:rPr>
                          <w:rFonts w:ascii="KPMG Greek Bold" w:eastAsia="KPMG Extralight" w:hAnsi="KPMG Greek Bold" w:cs="Arial"/>
                          <w:sz w:val="96"/>
                          <w:szCs w:val="96"/>
                          <w:lang w:val="el-GR"/>
                        </w:rPr>
                      </w:pPr>
                    </w:p>
                  </w:txbxContent>
                </v:textbox>
              </v:shape>
            </w:pict>
          </mc:Fallback>
        </mc:AlternateContent>
      </w:r>
      <w:r w:rsidR="00970373">
        <w:rPr>
          <w:rFonts w:ascii="Times New Roman" w:eastAsia="Times New Roman" w:hAnsi="Times New Roman" w:cs="Times New Roman"/>
          <w:noProof/>
          <w:sz w:val="20"/>
          <w:szCs w:val="20"/>
          <w:lang w:val="el-GR" w:eastAsia="el-GR"/>
        </w:rPr>
        <mc:AlternateContent>
          <mc:Choice Requires="wps">
            <w:drawing>
              <wp:anchor distT="0" distB="0" distL="114300" distR="114300" simplePos="0" relativeHeight="251655168" behindDoc="0" locked="0" layoutInCell="1" allowOverlap="1" wp14:anchorId="62EAFBFD" wp14:editId="6F67A3D5">
                <wp:simplePos x="0" y="0"/>
                <wp:positionH relativeFrom="column">
                  <wp:posOffset>685800</wp:posOffset>
                </wp:positionH>
                <wp:positionV relativeFrom="paragraph">
                  <wp:posOffset>58420</wp:posOffset>
                </wp:positionV>
                <wp:extent cx="801370" cy="321945"/>
                <wp:effectExtent l="0" t="1270" r="0" b="635"/>
                <wp:wrapNone/>
                <wp:docPr id="1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321945"/>
                        </a:xfrm>
                        <a:custGeom>
                          <a:avLst/>
                          <a:gdLst>
                            <a:gd name="T0" fmla="+- 0 1526 1080"/>
                            <a:gd name="T1" fmla="*/ T0 w 1262"/>
                            <a:gd name="T2" fmla="+- 0 -3856 -4086"/>
                            <a:gd name="T3" fmla="*/ -3856 h 507"/>
                            <a:gd name="T4" fmla="+- 0 1465 1080"/>
                            <a:gd name="T5" fmla="*/ T4 w 1262"/>
                            <a:gd name="T6" fmla="+- 0 -3856 -4086"/>
                            <a:gd name="T7" fmla="*/ -3856 h 507"/>
                            <a:gd name="T8" fmla="+- 0 1533 1080"/>
                            <a:gd name="T9" fmla="*/ T8 w 1262"/>
                            <a:gd name="T10" fmla="+- 0 -3856 -4086"/>
                            <a:gd name="T11" fmla="*/ -3856 h 507"/>
                            <a:gd name="T12" fmla="+- 0 1526 1080"/>
                            <a:gd name="T13" fmla="*/ T12 w 1262"/>
                            <a:gd name="T14" fmla="+- 0 -3856 -4086"/>
                            <a:gd name="T15" fmla="*/ -3856 h 507"/>
                          </a:gdLst>
                          <a:ahLst/>
                          <a:cxnLst>
                            <a:cxn ang="0">
                              <a:pos x="T1" y="T3"/>
                            </a:cxn>
                            <a:cxn ang="0">
                              <a:pos x="T5" y="T7"/>
                            </a:cxn>
                            <a:cxn ang="0">
                              <a:pos x="T9" y="T11"/>
                            </a:cxn>
                            <a:cxn ang="0">
                              <a:pos x="T13" y="T15"/>
                            </a:cxn>
                          </a:cxnLst>
                          <a:rect l="0" t="0" r="r" b="b"/>
                          <a:pathLst>
                            <a:path w="1262" h="507">
                              <a:moveTo>
                                <a:pt x="446" y="230"/>
                              </a:moveTo>
                              <a:lnTo>
                                <a:pt x="385" y="230"/>
                              </a:lnTo>
                              <a:lnTo>
                                <a:pt x="453" y="230"/>
                              </a:lnTo>
                              <a:lnTo>
                                <a:pt x="446" y="230"/>
                              </a:lnTo>
                              <a:close/>
                            </a:path>
                          </a:pathLst>
                        </a:custGeom>
                        <a:solidFill>
                          <a:srgbClr val="004E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1A2" id="Freeform 62" o:spid="_x0000_s1026" style="position:absolute;margin-left:54pt;margin-top:4.6pt;width:63.1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" path="m446,230r-61,l453,230r-7,xe" fillcolor="#004e98" stroked="f">
                <v:path arrowok="t" o:connecttype="custom" o:connectlocs="283210,-2448560;244475,-2448560;287655,-2448560;283210,-2448560" o:connectangles="0,0,0,0"/>
              </v:shape>
            </w:pict>
          </mc:Fallback>
        </mc:AlternateContent>
      </w:r>
    </w:p>
    <w:p w14:paraId="3FB05E07" w14:textId="040D5D5B" w:rsidR="00A60327" w:rsidRDefault="00A60327" w:rsidP="00045822">
      <w:pPr>
        <w:rPr>
          <w:rFonts w:ascii="Times New Roman" w:eastAsia="Times New Roman" w:hAnsi="Times New Roman" w:cs="Times New Roman"/>
          <w:sz w:val="20"/>
          <w:szCs w:val="20"/>
        </w:rPr>
      </w:pPr>
    </w:p>
    <w:p w14:paraId="6C140303" w14:textId="20C9E2F2" w:rsidR="00A60327" w:rsidRDefault="00A60327" w:rsidP="008E1F4D">
      <w:pPr>
        <w:ind w:left="1418"/>
        <w:rPr>
          <w:rFonts w:ascii="Times New Roman" w:eastAsia="Times New Roman" w:hAnsi="Times New Roman" w:cs="Times New Roman"/>
          <w:sz w:val="20"/>
          <w:szCs w:val="20"/>
        </w:rPr>
      </w:pPr>
    </w:p>
    <w:p w14:paraId="56C48D70" w14:textId="4B49CCAA" w:rsidR="00A60327" w:rsidRDefault="00A60327" w:rsidP="008E1F4D">
      <w:pPr>
        <w:ind w:left="1418"/>
        <w:rPr>
          <w:rFonts w:ascii="Times New Roman" w:eastAsia="Times New Roman" w:hAnsi="Times New Roman" w:cs="Times New Roman"/>
          <w:sz w:val="20"/>
          <w:szCs w:val="20"/>
        </w:rPr>
      </w:pPr>
    </w:p>
    <w:p w14:paraId="4D72EB90" w14:textId="77777777" w:rsidR="00A60327" w:rsidRDefault="00A60327" w:rsidP="008E1F4D">
      <w:pPr>
        <w:ind w:left="1418"/>
        <w:rPr>
          <w:rFonts w:ascii="Times New Roman" w:eastAsia="Times New Roman" w:hAnsi="Times New Roman" w:cs="Times New Roman"/>
          <w:sz w:val="20"/>
          <w:szCs w:val="20"/>
        </w:rPr>
      </w:pPr>
    </w:p>
    <w:p w14:paraId="0CAB197A" w14:textId="77777777" w:rsidR="00A60327" w:rsidRDefault="00A60327" w:rsidP="00065CE9">
      <w:pPr>
        <w:rPr>
          <w:rFonts w:ascii="Times New Roman" w:eastAsia="Times New Roman" w:hAnsi="Times New Roman" w:cs="Times New Roman"/>
          <w:sz w:val="20"/>
          <w:szCs w:val="20"/>
        </w:rPr>
      </w:pPr>
    </w:p>
    <w:p w14:paraId="0229B994" w14:textId="11DF0595" w:rsidR="004552ED" w:rsidRPr="004552ED" w:rsidRDefault="00A8412B" w:rsidP="004552ED">
      <w:pPr>
        <w:ind w:left="426"/>
        <w:rPr>
          <w:rStyle w:val="apple-style-span"/>
          <w:rFonts w:ascii="Arial" w:eastAsia="Times New Roman" w:hAnsi="Arial" w:cs="Arial"/>
          <w:sz w:val="20"/>
          <w:szCs w:val="20"/>
          <w:lang w:val="el-GR"/>
        </w:rPr>
      </w:pPr>
      <w:r w:rsidRPr="00A8412B">
        <w:rPr>
          <w:rFonts w:ascii="Arial" w:eastAsia="Times New Roman" w:hAnsi="Arial" w:cs="Arial"/>
          <w:sz w:val="20"/>
          <w:szCs w:val="20"/>
          <w:lang w:val="el-GR"/>
        </w:rPr>
        <w:t>31</w:t>
      </w:r>
      <w:r w:rsidR="00C939E8">
        <w:rPr>
          <w:rFonts w:ascii="Arial" w:eastAsia="Times New Roman" w:hAnsi="Arial" w:cs="Arial"/>
          <w:sz w:val="20"/>
          <w:szCs w:val="20"/>
          <w:lang w:val="el-GR"/>
        </w:rPr>
        <w:t xml:space="preserve"> Ιανουαρίου </w:t>
      </w:r>
      <w:r w:rsidR="00255B25">
        <w:rPr>
          <w:rFonts w:ascii="Arial" w:eastAsia="Times New Roman" w:hAnsi="Arial" w:cs="Arial"/>
          <w:sz w:val="20"/>
          <w:szCs w:val="20"/>
          <w:lang w:val="el-GR"/>
        </w:rPr>
        <w:t>202</w:t>
      </w:r>
      <w:r w:rsidR="00F623C3">
        <w:rPr>
          <w:rFonts w:ascii="Arial" w:eastAsia="Times New Roman" w:hAnsi="Arial" w:cs="Arial"/>
          <w:sz w:val="20"/>
          <w:szCs w:val="20"/>
          <w:lang w:val="el-GR"/>
        </w:rPr>
        <w:t>4</w:t>
      </w:r>
      <w:r w:rsidR="00877F47">
        <w:rPr>
          <w:rFonts w:ascii="Arial" w:eastAsia="Times New Roman" w:hAnsi="Arial" w:cs="Arial"/>
          <w:sz w:val="20"/>
          <w:szCs w:val="20"/>
          <w:lang w:val="el-GR"/>
        </w:rPr>
        <w:br/>
      </w:r>
      <w:r w:rsidR="00F623C3">
        <w:rPr>
          <w:rFonts w:ascii="Arial" w:hAnsi="Arial" w:cs="Arial"/>
          <w:b/>
          <w:color w:val="0070C0"/>
          <w:sz w:val="28"/>
          <w:szCs w:val="28"/>
          <w:lang w:val="el-GR"/>
        </w:rPr>
        <w:br/>
      </w:r>
      <w:r w:rsidR="00D1152B">
        <w:rPr>
          <w:rFonts w:ascii="Arial" w:hAnsi="Arial" w:cs="Arial"/>
          <w:b/>
          <w:color w:val="0070C0"/>
          <w:sz w:val="28"/>
          <w:szCs w:val="28"/>
          <w:lang w:val="el-GR"/>
        </w:rPr>
        <w:t>Οι</w:t>
      </w:r>
      <w:r w:rsidR="00D1152B" w:rsidRPr="004552ED">
        <w:rPr>
          <w:rFonts w:ascii="Arial" w:hAnsi="Arial" w:cs="Arial"/>
          <w:b/>
          <w:color w:val="0070C0"/>
          <w:sz w:val="28"/>
          <w:szCs w:val="28"/>
          <w:lang w:val="el-GR"/>
        </w:rPr>
        <w:t xml:space="preserve"> </w:t>
      </w:r>
      <w:r w:rsidR="004552ED" w:rsidRPr="004552ED">
        <w:rPr>
          <w:rFonts w:ascii="Arial" w:hAnsi="Arial" w:cs="Arial"/>
          <w:b/>
          <w:color w:val="0070C0"/>
          <w:sz w:val="28"/>
          <w:szCs w:val="28"/>
          <w:lang w:val="el-GR"/>
        </w:rPr>
        <w:t>ανασταλτικές πολιτικές και οι υφιστάμενοι φραγμοί της αγοράς δυσκολεύουν σημαντικά την επιτάχυνση της εξάπλωσης των ανανεώσιμων πηγών ενέργειας</w:t>
      </w:r>
      <w:r w:rsidR="00F623C3">
        <w:rPr>
          <w:rFonts w:ascii="Arial" w:hAnsi="Arial" w:cs="Arial"/>
          <w:b/>
          <w:color w:val="0070C0"/>
          <w:sz w:val="28"/>
          <w:szCs w:val="28"/>
          <w:lang w:val="el-GR"/>
        </w:rPr>
        <w:br/>
      </w:r>
    </w:p>
    <w:p w14:paraId="2B3E3D4F" w14:textId="7B531210" w:rsidR="004552ED" w:rsidRPr="004552ED"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 xml:space="preserve">Η </w:t>
      </w:r>
      <w:r w:rsidR="00D1152B">
        <w:rPr>
          <w:rStyle w:val="apple-style-span"/>
          <w:rFonts w:ascii="Arial" w:hAnsi="Arial" w:cs="Arial"/>
          <w:sz w:val="20"/>
          <w:szCs w:val="20"/>
          <w:lang w:val="el-GR"/>
        </w:rPr>
        <w:t xml:space="preserve">νέα έκθεση της </w:t>
      </w:r>
      <w:r w:rsidRPr="004552ED">
        <w:rPr>
          <w:rStyle w:val="apple-style-span"/>
          <w:rFonts w:ascii="Arial" w:hAnsi="Arial" w:cs="Arial"/>
          <w:sz w:val="20"/>
          <w:szCs w:val="20"/>
          <w:lang w:val="el-GR"/>
        </w:rPr>
        <w:t>KPMG</w:t>
      </w:r>
      <w:r w:rsidR="00D1152B">
        <w:rPr>
          <w:rStyle w:val="apple-style-span"/>
          <w:rFonts w:ascii="Arial" w:hAnsi="Arial" w:cs="Arial"/>
          <w:sz w:val="20"/>
          <w:szCs w:val="20"/>
          <w:lang w:val="el-GR"/>
        </w:rPr>
        <w:t xml:space="preserve"> </w:t>
      </w:r>
      <w:hyperlink r:id="rId12" w:history="1">
        <w:r w:rsidR="00D1152B" w:rsidRPr="00803621">
          <w:rPr>
            <w:rStyle w:val="Hyperlink"/>
            <w:lang w:val="el-GR"/>
          </w:rPr>
          <w:t>“</w:t>
        </w:r>
        <w:proofErr w:type="spellStart"/>
        <w:r w:rsidR="00D1152B" w:rsidRPr="00FE30B7">
          <w:rPr>
            <w:rStyle w:val="Hyperlink"/>
            <w:rFonts w:ascii="Arial" w:hAnsi="Arial" w:cs="Arial"/>
            <w:sz w:val="20"/>
            <w:szCs w:val="20"/>
            <w:lang w:val="el-GR"/>
          </w:rPr>
          <w:t>Turning</w:t>
        </w:r>
        <w:proofErr w:type="spellEnd"/>
        <w:r w:rsidR="00D1152B" w:rsidRPr="00FE30B7">
          <w:rPr>
            <w:rStyle w:val="Hyperlink"/>
            <w:rFonts w:ascii="Arial" w:hAnsi="Arial" w:cs="Arial"/>
            <w:sz w:val="20"/>
            <w:szCs w:val="20"/>
            <w:lang w:val="el-GR"/>
          </w:rPr>
          <w:t xml:space="preserve"> the </w:t>
        </w:r>
        <w:proofErr w:type="spellStart"/>
        <w:r w:rsidR="00D1152B" w:rsidRPr="00FE30B7">
          <w:rPr>
            <w:rStyle w:val="Hyperlink"/>
            <w:rFonts w:ascii="Arial" w:hAnsi="Arial" w:cs="Arial"/>
            <w:sz w:val="20"/>
            <w:szCs w:val="20"/>
            <w:lang w:val="el-GR"/>
          </w:rPr>
          <w:t>tide</w:t>
        </w:r>
        <w:proofErr w:type="spellEnd"/>
        <w:r w:rsidR="00D1152B" w:rsidRPr="00FE30B7">
          <w:rPr>
            <w:rStyle w:val="Hyperlink"/>
            <w:rFonts w:ascii="Arial" w:hAnsi="Arial" w:cs="Arial"/>
            <w:sz w:val="20"/>
            <w:szCs w:val="20"/>
            <w:lang w:val="el-GR"/>
          </w:rPr>
          <w:t xml:space="preserve"> in scaling renewables</w:t>
        </w:r>
        <w:r w:rsidR="00D1152B" w:rsidRPr="00803621">
          <w:rPr>
            <w:rStyle w:val="Hyperlink"/>
            <w:lang w:val="el-GR"/>
          </w:rPr>
          <w:t>”</w:t>
        </w:r>
      </w:hyperlink>
      <w:r w:rsidRPr="004552ED">
        <w:rPr>
          <w:rStyle w:val="apple-style-span"/>
          <w:rFonts w:ascii="Arial" w:hAnsi="Arial" w:cs="Arial"/>
          <w:sz w:val="20"/>
          <w:szCs w:val="20"/>
          <w:lang w:val="el-GR"/>
        </w:rPr>
        <w:t xml:space="preserve"> επισημαίνει 10 πιεστικές παγκόσμιες προκλήσεις που θέτουν εμπόδια στις ανανεώσιμες πηγές ενέργειας</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w:t>
      </w:r>
    </w:p>
    <w:p w14:paraId="0DC2D38C" w14:textId="617035AA" w:rsidR="004552ED" w:rsidRPr="004552ED" w:rsidRDefault="004552ED" w:rsidP="004552ED">
      <w:pPr>
        <w:pStyle w:val="ListParagraph"/>
        <w:widowControl/>
        <w:numPr>
          <w:ilvl w:val="0"/>
          <w:numId w:val="15"/>
        </w:numPr>
        <w:spacing w:before="100" w:beforeAutospacing="1" w:after="100" w:afterAutospacing="1"/>
        <w:rPr>
          <w:rStyle w:val="apple-style-span"/>
          <w:rFonts w:ascii="Arial" w:hAnsi="Arial" w:cs="Arial"/>
          <w:sz w:val="20"/>
          <w:szCs w:val="20"/>
          <w:lang w:val="el-GR"/>
        </w:rPr>
      </w:pPr>
      <w:r w:rsidRPr="004552ED">
        <w:rPr>
          <w:rStyle w:val="apple-style-span"/>
          <w:rFonts w:ascii="Arial" w:hAnsi="Arial" w:cs="Arial"/>
          <w:sz w:val="20"/>
          <w:szCs w:val="20"/>
          <w:lang w:val="el-GR"/>
        </w:rPr>
        <w:t xml:space="preserve">Οι συμμετέχοντες στην έρευνα, σε ποσοστό 80% συμφώνησαν ότι αυτό που επείγει περισσότερο ώστε να επιτευχθούν οι στόχοι είναι να επιταχυνθεί σημαντικά η εξάπλωση των </w:t>
      </w:r>
      <w:r w:rsidR="00F95DE1">
        <w:rPr>
          <w:rStyle w:val="apple-style-span"/>
          <w:rFonts w:ascii="Arial" w:hAnsi="Arial" w:cs="Arial"/>
          <w:sz w:val="20"/>
          <w:szCs w:val="20"/>
          <w:lang w:val="el-GR"/>
        </w:rPr>
        <w:t>ΑΠΕ</w:t>
      </w:r>
    </w:p>
    <w:p w14:paraId="063A5F28" w14:textId="28C7B69E" w:rsidR="004552ED" w:rsidRPr="004552ED" w:rsidRDefault="004552ED" w:rsidP="004552ED">
      <w:pPr>
        <w:pStyle w:val="ListParagraph"/>
        <w:widowControl/>
        <w:numPr>
          <w:ilvl w:val="0"/>
          <w:numId w:val="15"/>
        </w:numPr>
        <w:spacing w:before="100" w:beforeAutospacing="1" w:after="100" w:afterAutospacing="1"/>
        <w:rPr>
          <w:rStyle w:val="apple-style-span"/>
          <w:rFonts w:ascii="Arial" w:hAnsi="Arial" w:cs="Arial"/>
          <w:sz w:val="20"/>
          <w:szCs w:val="20"/>
          <w:lang w:val="el-GR"/>
        </w:rPr>
      </w:pPr>
      <w:r w:rsidRPr="004552ED">
        <w:rPr>
          <w:rStyle w:val="apple-style-span"/>
          <w:rFonts w:ascii="Arial" w:hAnsi="Arial" w:cs="Arial"/>
          <w:sz w:val="20"/>
          <w:szCs w:val="20"/>
          <w:lang w:val="el-GR"/>
        </w:rPr>
        <w:t>Οι ανανεώσιμες πηγές ενέργειας, αν και έχουν αναπτυχθεί ταχύτατα, έχουν μείνει πίσω στην επίτευξη των κρίσιμων στόχων της Συμφωνίας του Παρισιού για το κλίμα</w:t>
      </w:r>
    </w:p>
    <w:p w14:paraId="086124FA" w14:textId="37C42B77" w:rsidR="004552ED" w:rsidRPr="004552ED" w:rsidRDefault="004552ED" w:rsidP="004552ED">
      <w:pPr>
        <w:pStyle w:val="ListParagraph"/>
        <w:widowControl/>
        <w:numPr>
          <w:ilvl w:val="0"/>
          <w:numId w:val="15"/>
        </w:numPr>
        <w:spacing w:before="100" w:beforeAutospacing="1" w:after="100" w:afterAutospacing="1"/>
        <w:rPr>
          <w:rStyle w:val="apple-style-span"/>
          <w:rFonts w:ascii="Arial" w:hAnsi="Arial" w:cs="Arial"/>
          <w:sz w:val="20"/>
          <w:szCs w:val="20"/>
          <w:lang w:val="el-GR"/>
        </w:rPr>
      </w:pPr>
      <w:r w:rsidRPr="004552ED">
        <w:rPr>
          <w:rStyle w:val="apple-style-span"/>
          <w:rFonts w:ascii="Arial" w:hAnsi="Arial" w:cs="Arial"/>
          <w:sz w:val="20"/>
          <w:szCs w:val="20"/>
          <w:lang w:val="el-GR"/>
        </w:rPr>
        <w:t>Για να επιτευχθούν οι στόχοι του Διεθνούς Οργανισμού Ανανεώσιμων Πηγών Ενέργειας, τα κράτη χρειάζεται να αυξήσουν το μερίδιο των ανανεώσιμων πηγών ενέργειας στο παγκόσμιο ενεργειακό μείγμα από 14% σε 77% μέχρι τα μέσα του αιώνα</w:t>
      </w:r>
      <w:r w:rsidR="00784D1D" w:rsidRPr="00784D1D">
        <w:rPr>
          <w:rStyle w:val="apple-style-span"/>
          <w:rFonts w:ascii="Arial" w:hAnsi="Arial" w:cs="Arial"/>
          <w:sz w:val="20"/>
          <w:szCs w:val="20"/>
          <w:vertAlign w:val="superscript"/>
          <w:lang w:val="el-GR"/>
        </w:rPr>
        <w:t>12</w:t>
      </w:r>
    </w:p>
    <w:p w14:paraId="11D43B14" w14:textId="1A23442E" w:rsidR="004552ED" w:rsidRPr="004552ED" w:rsidRDefault="004552ED" w:rsidP="004552ED">
      <w:pPr>
        <w:pStyle w:val="ListParagraph"/>
        <w:widowControl/>
        <w:numPr>
          <w:ilvl w:val="0"/>
          <w:numId w:val="15"/>
        </w:numPr>
        <w:spacing w:before="100" w:beforeAutospacing="1" w:after="100" w:afterAutospacing="1"/>
        <w:rPr>
          <w:rStyle w:val="apple-style-span"/>
          <w:rFonts w:ascii="Arial" w:hAnsi="Arial" w:cs="Arial"/>
          <w:sz w:val="20"/>
          <w:szCs w:val="20"/>
          <w:lang w:val="el-GR"/>
        </w:rPr>
      </w:pPr>
      <w:r w:rsidRPr="004552ED">
        <w:rPr>
          <w:rStyle w:val="apple-style-span"/>
          <w:rFonts w:ascii="Arial" w:hAnsi="Arial" w:cs="Arial"/>
          <w:sz w:val="20"/>
          <w:szCs w:val="20"/>
          <w:lang w:val="el-GR"/>
        </w:rPr>
        <w:t xml:space="preserve">Σύμφωνα με </w:t>
      </w:r>
      <w:r w:rsidR="00D1152B">
        <w:rPr>
          <w:rStyle w:val="apple-style-span"/>
          <w:rFonts w:ascii="Arial" w:hAnsi="Arial" w:cs="Arial"/>
          <w:sz w:val="20"/>
          <w:szCs w:val="20"/>
          <w:lang w:val="el-GR"/>
        </w:rPr>
        <w:t xml:space="preserve">την </w:t>
      </w:r>
      <w:r w:rsidRPr="004552ED">
        <w:rPr>
          <w:rStyle w:val="apple-style-span"/>
          <w:rFonts w:ascii="Arial" w:hAnsi="Arial" w:cs="Arial"/>
          <w:sz w:val="20"/>
          <w:szCs w:val="20"/>
          <w:lang w:val="el-GR"/>
        </w:rPr>
        <w:t>έρευνα της KPMG, μόνο το ένα τρίτο των ερωτηθέντων πιστεύει με βεβαιότητα ότι οι ανανεώσιμες πηγές ενέργειας θα ξεπεράσουν τα ορυκτά καύσιμα ως κύρια πηγή καυσίμων έως το 2050</w:t>
      </w:r>
    </w:p>
    <w:p w14:paraId="15EB20D8" w14:textId="0D9BE6A6" w:rsidR="004552ED" w:rsidRPr="004552ED" w:rsidRDefault="004552ED" w:rsidP="004552ED">
      <w:pPr>
        <w:pStyle w:val="ListParagraph"/>
        <w:widowControl/>
        <w:numPr>
          <w:ilvl w:val="0"/>
          <w:numId w:val="15"/>
        </w:numPr>
        <w:spacing w:before="100" w:beforeAutospacing="1" w:after="100" w:afterAutospacing="1"/>
        <w:rPr>
          <w:rStyle w:val="apple-style-span"/>
          <w:rFonts w:ascii="Arial" w:hAnsi="Arial" w:cs="Arial"/>
          <w:sz w:val="20"/>
          <w:szCs w:val="20"/>
          <w:lang w:val="el-GR"/>
        </w:rPr>
      </w:pPr>
      <w:r w:rsidRPr="004552ED">
        <w:rPr>
          <w:rStyle w:val="apple-style-span"/>
          <w:rFonts w:ascii="Arial" w:hAnsi="Arial" w:cs="Arial"/>
          <w:sz w:val="20"/>
          <w:szCs w:val="20"/>
          <w:lang w:val="el-GR"/>
        </w:rPr>
        <w:t>Οι ανασταλτικές πολιτικές αποτέλεσαν το πιο σημαντικό εμπόδιο στην εξάπλωση των ανανεώσιμων πηγών ενέργειας, με τη δομή και τον σχεδιασμό της αγοράς, αλλά και τους κινδύνους της εφοδιαστικής αλυσίδας, να ακολουθούν</w:t>
      </w:r>
    </w:p>
    <w:p w14:paraId="7857C93E" w14:textId="16D5CCFB" w:rsidR="004552ED" w:rsidRPr="004552ED"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 xml:space="preserve">Η KPMG παρουσίασε την έκθεση με τίτλο </w:t>
      </w:r>
      <w:bookmarkStart w:id="0" w:name="_Hlk155947996"/>
      <w:r w:rsidR="00D1152B" w:rsidRPr="00803621">
        <w:rPr>
          <w:rStyle w:val="apple-style-span"/>
          <w:rFonts w:ascii="Arial" w:hAnsi="Arial" w:cs="Arial"/>
          <w:sz w:val="20"/>
          <w:szCs w:val="20"/>
          <w:lang w:val="el-GR"/>
        </w:rPr>
        <w:t xml:space="preserve"> “</w:t>
      </w:r>
      <w:r w:rsidRPr="004552ED">
        <w:rPr>
          <w:rStyle w:val="apple-style-span"/>
          <w:rFonts w:ascii="Arial" w:hAnsi="Arial" w:cs="Arial"/>
          <w:sz w:val="20"/>
          <w:szCs w:val="20"/>
          <w:lang w:val="el-GR"/>
        </w:rPr>
        <w:t>Turning the tide in scaling renewables</w:t>
      </w:r>
      <w:r w:rsidR="00D1152B" w:rsidRPr="00803621">
        <w:rPr>
          <w:rStyle w:val="apple-style-span"/>
          <w:rFonts w:ascii="Arial" w:hAnsi="Arial" w:cs="Arial"/>
          <w:sz w:val="20"/>
          <w:szCs w:val="20"/>
          <w:lang w:val="el-GR"/>
        </w:rPr>
        <w:t>”</w:t>
      </w:r>
      <w:bookmarkEnd w:id="0"/>
      <w:r w:rsidR="00D1152B" w:rsidRPr="004552ED">
        <w:rPr>
          <w:rStyle w:val="apple-style-span"/>
          <w:rFonts w:ascii="Arial" w:hAnsi="Arial" w:cs="Arial"/>
          <w:sz w:val="20"/>
          <w:szCs w:val="20"/>
          <w:lang w:val="el-GR"/>
        </w:rPr>
        <w:t xml:space="preserve"> </w:t>
      </w:r>
      <w:r w:rsidRPr="004552ED">
        <w:rPr>
          <w:rStyle w:val="apple-style-span"/>
          <w:rFonts w:ascii="Arial" w:hAnsi="Arial" w:cs="Arial"/>
          <w:sz w:val="20"/>
          <w:szCs w:val="20"/>
          <w:lang w:val="el-GR"/>
        </w:rPr>
        <w:t xml:space="preserve">, που αναδεικνύει τις 10 πιο πιεστικές προκλήσεις που επηρεάζουν την ενεργειακή μετάβαση και παρέχει προτάσεις για την επίλυσή τους. Με την έκθεση αυτή και τη συνοδευτική έρευνά της, διαπιστώνεται ότι ο τρέχων ρυθμός εξάπλωσης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δεν είναι σε καμία περίπτωση επαρκής για να επιτευχθούν οι φιλοδοξίες της Συμφωνίας του Παρισιού για τον περιορισμό της παγκόσμιας αύξησης της θερμοκρασίας κατά 1,5 βαθμούς Κελσίου πάνω από τα προβιομηχανικά επίπεδα. Η δημοσίευση των συμπερασμάτων συμπίπτει με τις πιέσεις της προεδρίας της Συνόδου COP28 για ανάληψη παγκόσμιων δεσμεύσεων για τον τριπλασιασμό των ΑΠΕ έως το 2030, με την έκθεση να περιγράφει τις πραγματικές προκλήσεις που θα πρέπει να ξεπεραστούν για να επιτευχθούν </w:t>
      </w:r>
      <w:r w:rsidR="00F95DE1" w:rsidRPr="00803621">
        <w:rPr>
          <w:rStyle w:val="apple-style-span"/>
          <w:rFonts w:ascii="Arial" w:hAnsi="Arial" w:cs="Arial"/>
          <w:sz w:val="20"/>
          <w:szCs w:val="20"/>
          <w:lang w:val="el-GR"/>
        </w:rPr>
        <w:t xml:space="preserve">  </w:t>
      </w:r>
      <w:r w:rsidR="00F95DE1">
        <w:rPr>
          <w:rStyle w:val="apple-style-span"/>
          <w:rFonts w:ascii="Arial" w:hAnsi="Arial" w:cs="Arial"/>
          <w:sz w:val="20"/>
          <w:szCs w:val="20"/>
          <w:lang w:val="el-GR"/>
        </w:rPr>
        <w:t xml:space="preserve">οι παραπάνω </w:t>
      </w:r>
      <w:r w:rsidRPr="004552ED">
        <w:rPr>
          <w:rStyle w:val="apple-style-span"/>
          <w:rFonts w:ascii="Arial" w:hAnsi="Arial" w:cs="Arial"/>
          <w:sz w:val="20"/>
          <w:szCs w:val="20"/>
          <w:lang w:val="el-GR"/>
        </w:rPr>
        <w:t>φιλοδοξίες.</w:t>
      </w:r>
    </w:p>
    <w:p w14:paraId="5AD05A5D" w14:textId="77777777" w:rsidR="004552ED" w:rsidRPr="004552ED" w:rsidRDefault="004552ED" w:rsidP="004552ED">
      <w:pPr>
        <w:rPr>
          <w:rStyle w:val="apple-style-span"/>
          <w:rFonts w:ascii="Arial" w:hAnsi="Arial" w:cs="Arial"/>
          <w:sz w:val="20"/>
          <w:szCs w:val="20"/>
          <w:lang w:val="el-GR"/>
        </w:rPr>
      </w:pPr>
    </w:p>
    <w:p w14:paraId="062791F5" w14:textId="6E0A2E23" w:rsidR="004552ED" w:rsidRPr="00563FBB"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 xml:space="preserve">Πάνω από το 80% των ερωτηθέντων συμφωνούν ή συμφωνούν απόλυτα ότι η σημαντική επιτάχυνση της εξάπλωσης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είναι το πιο επείγον ζήτημα στο οποίο πρέπει να δοθεί προσοχή, με το 84% να αναγνωρίζει ότι οι υφιστάμενοι φραγμοί στην αγορά προκαλούν σημαντικές καθυστερήσεις και, σε ορισμένες περιπτώσεις, ακόμη και την εγκατάλειψη των έργων ΑΠΕ. Επιπλέον, το 40% των ερωτηθέντων δηλώνει ότι οι τρέχουσες κυβερνητικές πολιτικές είναι αναποτελεσματικές για την επιτάχυνση της εξάπλωσης των ΑΠΕ, με τις ανασταλτικές κυβερνητικές πολιτικές και τους κανονισμούς να αναφέρονται ως το βασικό εμπόδιο για την κλιμάκωση, σύμφωνα με το 77% των ερωτηθέντων. Οι ερωτηθέντες κατέταξαν τα υπόλοιπα πιο σημαντικά εμπόδια στην κλιμάκωση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ως εξής: δομή και σχεδιασμός της αγοράς (75%), κίνδυνοι της εφοδιαστικής αλυσίδας (61%), πρόσβαση σε κεφάλαια (48%), έλλειψη επενδύσεων σε υποδομές δικτύου (47%).</w:t>
      </w:r>
    </w:p>
    <w:p w14:paraId="37171442" w14:textId="77777777" w:rsidR="004552ED" w:rsidRPr="004552ED" w:rsidRDefault="004552ED" w:rsidP="004552ED">
      <w:pPr>
        <w:rPr>
          <w:rStyle w:val="apple-style-span"/>
          <w:rFonts w:ascii="Arial" w:hAnsi="Arial" w:cs="Arial"/>
          <w:sz w:val="20"/>
          <w:szCs w:val="20"/>
          <w:lang w:val="el-GR"/>
        </w:rPr>
      </w:pPr>
    </w:p>
    <w:p w14:paraId="0B7100EC" w14:textId="1798D7B3" w:rsidR="004552ED" w:rsidRPr="004552ED"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 xml:space="preserve">Τα στοιχεία της έρευνας της KPMG που περιλαμβάνονται στην έκθεση βασίζονται στα αποτελέσματα μιας ανώνυμης διαδικτυακής έρευνας που πραγματοποιήθηκε από την KPMG International. Συνολικά, στην έρευνα συμμετείχαν 110 άτομα, από διάφορες θέσεις στον κλάδο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τόσο από δημόσιες όσο και από ιδιωτικές εταιρείες, σε περισσότερες από 24 χώρες, και απάντησαν σε ερωτήσεις σχετικά με την ανάγκη επιτάχυνσης της εξάπλωσης των ΑΠΕ, τις τρέχουσες προκλήσεις της αγοράς και την αποτελεσματικότητα των πολιτικών. </w:t>
      </w:r>
    </w:p>
    <w:p w14:paraId="6D92010A" w14:textId="77777777" w:rsidR="00784D1D" w:rsidRPr="00784D1D" w:rsidRDefault="00784D1D" w:rsidP="00784D1D">
      <w:pPr>
        <w:pStyle w:val="FootnoteText"/>
        <w:rPr>
          <w:rFonts w:ascii="Arial" w:hAnsi="Arial" w:cs="Arial"/>
          <w:sz w:val="14"/>
          <w:szCs w:val="14"/>
          <w:lang w:val="en-GB"/>
        </w:rPr>
      </w:pPr>
      <w:r>
        <w:rPr>
          <w:rStyle w:val="apple-style-span"/>
          <w:rFonts w:ascii="Arial" w:hAnsi="Arial" w:cs="Arial"/>
        </w:rPr>
        <w:br/>
      </w:r>
      <w:r w:rsidRPr="00784D1D">
        <w:rPr>
          <w:rStyle w:val="FootnoteReference"/>
          <w:rFonts w:ascii="Arial" w:hAnsi="Arial" w:cs="Arial"/>
          <w:sz w:val="14"/>
          <w:szCs w:val="14"/>
        </w:rPr>
        <w:footnoteRef/>
      </w:r>
      <w:r w:rsidRPr="00784D1D">
        <w:rPr>
          <w:rFonts w:ascii="Arial" w:hAnsi="Arial" w:cs="Arial"/>
          <w:sz w:val="14"/>
          <w:szCs w:val="14"/>
        </w:rPr>
        <w:t xml:space="preserve"> Energy Institute, σε συνεργασία με την KPMG και την Kearney. </w:t>
      </w:r>
      <w:r w:rsidRPr="00784D1D">
        <w:rPr>
          <w:rFonts w:ascii="Arial" w:hAnsi="Arial" w:cs="Arial"/>
          <w:sz w:val="14"/>
          <w:szCs w:val="14"/>
          <w:lang w:val="en-GB"/>
        </w:rPr>
        <w:t xml:space="preserve">“2023 Statistical Review of World Energy.” </w:t>
      </w:r>
      <w:r w:rsidRPr="00784D1D">
        <w:rPr>
          <w:rFonts w:ascii="Arial" w:hAnsi="Arial" w:cs="Arial"/>
          <w:sz w:val="14"/>
          <w:szCs w:val="14"/>
        </w:rPr>
        <w:t>Ιούνιος</w:t>
      </w:r>
      <w:r w:rsidRPr="00784D1D">
        <w:rPr>
          <w:rFonts w:ascii="Arial" w:hAnsi="Arial" w:cs="Arial"/>
          <w:sz w:val="14"/>
          <w:szCs w:val="14"/>
          <w:lang w:val="en-GB"/>
        </w:rPr>
        <w:t xml:space="preserve"> 2023.</w:t>
      </w:r>
    </w:p>
    <w:p w14:paraId="093D0227" w14:textId="03E5DF39" w:rsidR="004552ED" w:rsidRPr="004552ED" w:rsidRDefault="00784D1D" w:rsidP="00784D1D">
      <w:pPr>
        <w:pStyle w:val="xmsonormal"/>
        <w:rPr>
          <w:rStyle w:val="apple-style-span"/>
          <w:rFonts w:ascii="Arial" w:hAnsi="Arial" w:cs="Arial"/>
          <w:sz w:val="20"/>
          <w:szCs w:val="20"/>
          <w:lang w:eastAsia="en-US"/>
        </w:rPr>
      </w:pPr>
      <w:r>
        <w:rPr>
          <w:rStyle w:val="FootnoteReference"/>
          <w:rFonts w:ascii="Arial" w:hAnsi="Arial" w:cs="Arial"/>
          <w:sz w:val="14"/>
          <w:szCs w:val="14"/>
          <w:lang w:val="en-US"/>
        </w:rPr>
        <w:t>2</w:t>
      </w:r>
      <w:r>
        <w:rPr>
          <w:rFonts w:ascii="Arial" w:hAnsi="Arial" w:cs="Arial"/>
          <w:sz w:val="14"/>
          <w:szCs w:val="14"/>
          <w:lang w:val="en-US"/>
        </w:rPr>
        <w:t xml:space="preserve"> </w:t>
      </w:r>
      <w:r w:rsidRPr="00784D1D">
        <w:rPr>
          <w:rFonts w:ascii="Arial" w:hAnsi="Arial" w:cs="Arial"/>
          <w:sz w:val="14"/>
          <w:szCs w:val="14"/>
          <w:lang w:val="en-GB"/>
        </w:rPr>
        <w:t xml:space="preserve"> International Renewable Energy Agency (IRENA). “World Energy Transitions Outlook 2023: 1.5 C Pathway.” </w:t>
      </w:r>
      <w:r w:rsidRPr="00784D1D">
        <w:rPr>
          <w:rFonts w:ascii="Arial" w:hAnsi="Arial" w:cs="Arial"/>
          <w:sz w:val="14"/>
          <w:szCs w:val="14"/>
        </w:rPr>
        <w:t>Ιούνιος 2023.</w:t>
      </w:r>
    </w:p>
    <w:p w14:paraId="32AF3456" w14:textId="77777777" w:rsidR="00784D1D" w:rsidRDefault="004552ED" w:rsidP="004552ED">
      <w:pPr>
        <w:pStyle w:val="xmsonormal"/>
        <w:ind w:left="360"/>
        <w:rPr>
          <w:rStyle w:val="apple-style-span"/>
          <w:rFonts w:ascii="Arial" w:hAnsi="Arial" w:cs="Arial"/>
          <w:b/>
          <w:bCs/>
          <w:sz w:val="20"/>
          <w:szCs w:val="20"/>
          <w:lang w:eastAsia="en-US"/>
        </w:rPr>
      </w:pPr>
      <w:r w:rsidRPr="004552ED">
        <w:rPr>
          <w:rStyle w:val="apple-style-span"/>
          <w:rFonts w:ascii="Arial" w:hAnsi="Arial" w:cs="Arial"/>
          <w:sz w:val="20"/>
          <w:szCs w:val="20"/>
          <w:lang w:eastAsia="en-US"/>
        </w:rPr>
        <w:lastRenderedPageBreak/>
        <w:t xml:space="preserve">«Η κατανόηση του μεγέθους αυτών των προκλήσεων και του εύρους των προτεινόμενων λύσεων επιτρέπει την ανάληψη έξυπνης και τολμηρής δράσης, συμβάλλοντας στη διασφάλιση μιας πορείας προς την κλιμάκωση», σχολιάζει ο </w:t>
      </w:r>
      <w:r w:rsidRPr="00803621">
        <w:rPr>
          <w:rStyle w:val="apple-style-span"/>
          <w:rFonts w:ascii="Arial" w:hAnsi="Arial" w:cs="Arial"/>
          <w:b/>
          <w:bCs/>
          <w:sz w:val="20"/>
          <w:szCs w:val="20"/>
          <w:lang w:eastAsia="en-US"/>
        </w:rPr>
        <w:t xml:space="preserve">Mike Hayes, Global Head of Renewable Energy, Climate Change, Nature and </w:t>
      </w:r>
    </w:p>
    <w:p w14:paraId="0488504A" w14:textId="77777777" w:rsidR="004552ED" w:rsidRPr="004552ED" w:rsidRDefault="004552ED" w:rsidP="004552ED">
      <w:pPr>
        <w:pStyle w:val="xmsonormal"/>
        <w:ind w:left="360"/>
        <w:rPr>
          <w:rStyle w:val="apple-style-span"/>
          <w:rFonts w:ascii="Arial" w:hAnsi="Arial" w:cs="Arial"/>
          <w:sz w:val="20"/>
          <w:szCs w:val="20"/>
          <w:lang w:eastAsia="en-US"/>
        </w:rPr>
      </w:pPr>
      <w:r w:rsidRPr="00784D1D">
        <w:rPr>
          <w:rStyle w:val="apple-style-span"/>
          <w:rFonts w:ascii="Arial" w:hAnsi="Arial" w:cs="Arial"/>
          <w:b/>
          <w:bCs/>
          <w:sz w:val="20"/>
          <w:szCs w:val="20"/>
          <w:lang w:val="en-US" w:eastAsia="en-US"/>
        </w:rPr>
        <w:t xml:space="preserve">Decarbonization Leader </w:t>
      </w:r>
      <w:r w:rsidRPr="00803621">
        <w:rPr>
          <w:rStyle w:val="apple-style-span"/>
          <w:rFonts w:ascii="Arial" w:hAnsi="Arial" w:cs="Arial"/>
          <w:b/>
          <w:bCs/>
          <w:sz w:val="20"/>
          <w:szCs w:val="20"/>
          <w:lang w:eastAsia="en-US"/>
        </w:rPr>
        <w:t>της</w:t>
      </w:r>
      <w:r w:rsidRPr="00784D1D">
        <w:rPr>
          <w:rStyle w:val="apple-style-span"/>
          <w:rFonts w:ascii="Arial" w:hAnsi="Arial" w:cs="Arial"/>
          <w:b/>
          <w:bCs/>
          <w:sz w:val="20"/>
          <w:szCs w:val="20"/>
          <w:lang w:val="en-US" w:eastAsia="en-US"/>
        </w:rPr>
        <w:t xml:space="preserve"> KPMG Internationa</w:t>
      </w:r>
      <w:r w:rsidRPr="00784D1D">
        <w:rPr>
          <w:rStyle w:val="apple-style-span"/>
          <w:rFonts w:ascii="Arial" w:hAnsi="Arial" w:cs="Arial"/>
          <w:sz w:val="20"/>
          <w:szCs w:val="20"/>
          <w:lang w:val="en-US" w:eastAsia="en-US"/>
        </w:rPr>
        <w:t xml:space="preserve">l. </w:t>
      </w:r>
      <w:r w:rsidRPr="004552ED">
        <w:rPr>
          <w:rStyle w:val="apple-style-span"/>
          <w:rFonts w:ascii="Arial" w:hAnsi="Arial" w:cs="Arial"/>
          <w:sz w:val="20"/>
          <w:szCs w:val="20"/>
          <w:lang w:eastAsia="en-US"/>
        </w:rPr>
        <w:t>«Η επίτευξη των κλιματικών στόχων πιθανότατα θα απαιτήσει τριπλασιασμό της ετήσιας ισχύος των ανανεώσιμων πηγών ενέργειας έως το 2030 και στη συνέχεια δραστική κλιμάκωση μέχρι το 2050. Έχει έρθει η στιγμή για επείγουσα δράση και εφαρμογή, ειδάλλως ο κόσμος θα χρειαστεί να καίει ορυκτά καύσιμα για πολύ περισσότερο από ό,τι προσδοκούμε». </w:t>
      </w:r>
    </w:p>
    <w:p w14:paraId="7C7CCA3F" w14:textId="77777777" w:rsidR="004552ED" w:rsidRPr="004552ED" w:rsidRDefault="004552ED" w:rsidP="004552ED">
      <w:pPr>
        <w:rPr>
          <w:rStyle w:val="apple-style-span"/>
          <w:rFonts w:ascii="Arial" w:hAnsi="Arial" w:cs="Arial"/>
          <w:sz w:val="20"/>
          <w:szCs w:val="20"/>
          <w:lang w:val="el-GR"/>
        </w:rPr>
      </w:pPr>
    </w:p>
    <w:p w14:paraId="5A67C8E6" w14:textId="77777777" w:rsidR="004552ED" w:rsidRPr="004552ED"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Το σημείο εκκίνησης για αποτελεσματική δράση είναι η ακριβής διάγνωση των βασικών προκλήσεων που εμποδίζουν μια δυναμική αύξηση της ανανεώσιμης ενέργειας. Οι προκλήσεις που προσδιορίζονται στην έκθεση και ένα δείγμα των προτεινόμενων επόμενων βημάτων περιλαμβάνουν τα παρακάτω, κατά τη σειρά που τα ανέδειξαν οι συμμετέχοντες στην έρευνα:</w:t>
      </w:r>
    </w:p>
    <w:p w14:paraId="5A92FCB0" w14:textId="5D979F8E"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9B29DE">
        <w:rPr>
          <w:rStyle w:val="apple-style-span"/>
          <w:rFonts w:ascii="Arial" w:hAnsi="Arial" w:cs="Arial"/>
          <w:b/>
          <w:bCs/>
          <w:sz w:val="20"/>
          <w:szCs w:val="20"/>
          <w:lang w:val="el-GR"/>
        </w:rPr>
        <w:t>Δομές αγοράς (75%)</w:t>
      </w:r>
      <w:r w:rsidRPr="004552ED">
        <w:rPr>
          <w:rStyle w:val="apple-style-span"/>
          <w:rFonts w:ascii="Arial" w:hAnsi="Arial" w:cs="Arial"/>
          <w:sz w:val="20"/>
          <w:szCs w:val="20"/>
          <w:lang w:val="el-GR"/>
        </w:rPr>
        <w:t xml:space="preserve">: Η ευελιξία που απαιτείται για μια μεγάλης κλίμακας ανάπτυξη της διαλείπουσας παραγωγής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δεν υποστηρίζεται από τις περισσότερες υφιστάμενες δομές και τους κανόνες της αγοράς.</w:t>
      </w:r>
    </w:p>
    <w:p w14:paraId="53F4E3AC"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9B29DE">
        <w:rPr>
          <w:rStyle w:val="apple-style-span"/>
          <w:rFonts w:ascii="Arial" w:hAnsi="Arial" w:cs="Arial"/>
          <w:b/>
          <w:bCs/>
          <w:sz w:val="20"/>
          <w:szCs w:val="20"/>
          <w:lang w:val="el-GR"/>
        </w:rPr>
        <w:t>Ζητήματα εφοδιαστικής αλυσίδας (61%)</w:t>
      </w:r>
      <w:r w:rsidRPr="004552ED">
        <w:rPr>
          <w:rStyle w:val="apple-style-span"/>
          <w:rFonts w:ascii="Arial" w:hAnsi="Arial" w:cs="Arial"/>
          <w:sz w:val="20"/>
          <w:szCs w:val="20"/>
          <w:lang w:val="el-GR"/>
        </w:rPr>
        <w:t>: Η διασφάλιση ανθεκτικών και αξιόπιστων εφοδιαστικών αλυσίδων είναι ένα από τα θεμέλια της γρήγορης κλιμάκωσης των ΑΠΕ.</w:t>
      </w:r>
    </w:p>
    <w:p w14:paraId="74CF215C" w14:textId="77360583"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9B29DE">
        <w:rPr>
          <w:rStyle w:val="apple-style-span"/>
          <w:rFonts w:ascii="Arial" w:hAnsi="Arial" w:cs="Arial"/>
          <w:b/>
          <w:bCs/>
          <w:sz w:val="20"/>
          <w:szCs w:val="20"/>
          <w:lang w:val="el-GR"/>
        </w:rPr>
        <w:t>Πρόσβαση σε κεφάλαια (48%</w:t>
      </w:r>
      <w:r w:rsidR="009B29DE" w:rsidRPr="009B29DE">
        <w:rPr>
          <w:rStyle w:val="apple-style-span"/>
          <w:rFonts w:ascii="Arial" w:hAnsi="Arial" w:cs="Arial"/>
          <w:sz w:val="20"/>
          <w:szCs w:val="20"/>
          <w:lang w:val="el-GR"/>
        </w:rPr>
        <w:t>)</w:t>
      </w:r>
      <w:r w:rsidRPr="004552ED">
        <w:rPr>
          <w:rStyle w:val="apple-style-span"/>
          <w:rFonts w:ascii="Arial" w:hAnsi="Arial" w:cs="Arial"/>
          <w:sz w:val="20"/>
          <w:szCs w:val="20"/>
          <w:lang w:val="el-GR"/>
        </w:rPr>
        <w:t>: Η χρηματοδότηση της ενεργειακής μετάβασης απαιτεί τεράστιο κεφάλαιο.</w:t>
      </w:r>
    </w:p>
    <w:p w14:paraId="493FCB7F" w14:textId="67169FD6"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9B29DE">
        <w:rPr>
          <w:rStyle w:val="apple-style-span"/>
          <w:rFonts w:ascii="Arial" w:hAnsi="Arial" w:cs="Arial"/>
          <w:b/>
          <w:bCs/>
          <w:sz w:val="20"/>
          <w:szCs w:val="20"/>
          <w:lang w:val="el-GR"/>
        </w:rPr>
        <w:t>Επενδύσεις σε υποδομές δικτύου (</w:t>
      </w:r>
      <w:r w:rsidR="00BF76CD" w:rsidRPr="009B29DE">
        <w:rPr>
          <w:rStyle w:val="apple-style-span"/>
          <w:rFonts w:ascii="Arial" w:hAnsi="Arial" w:cs="Arial"/>
          <w:b/>
          <w:bCs/>
          <w:sz w:val="20"/>
          <w:szCs w:val="20"/>
          <w:lang w:val="el-GR"/>
        </w:rPr>
        <w:t>74</w:t>
      </w:r>
      <w:r w:rsidRPr="009B29DE">
        <w:rPr>
          <w:rStyle w:val="apple-style-span"/>
          <w:rFonts w:ascii="Arial" w:hAnsi="Arial" w:cs="Arial"/>
          <w:b/>
          <w:bCs/>
          <w:sz w:val="20"/>
          <w:szCs w:val="20"/>
          <w:lang w:val="el-GR"/>
        </w:rPr>
        <w:t>%):</w:t>
      </w:r>
      <w:r w:rsidRPr="004552ED">
        <w:rPr>
          <w:rStyle w:val="apple-style-span"/>
          <w:rFonts w:ascii="Arial" w:hAnsi="Arial" w:cs="Arial"/>
          <w:sz w:val="20"/>
          <w:szCs w:val="20"/>
          <w:lang w:val="el-GR"/>
        </w:rPr>
        <w:t xml:space="preserve"> Επειδή το δίκτυο λειτουργεί σε μεγάλο βαθμό με τον ίδιο τρόπο εδώ και πάνω από έναν αιώνα, οι πολιτικές, οι κανόνες και οι προσεγγίσεις που εφαρμόζονται για τις επενδύσεις δεν είχε χρειαστεί να εξελιχθούν.</w:t>
      </w:r>
    </w:p>
    <w:p w14:paraId="2F6E9164"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Σχεδιασμός και αδειοδότηση (44%):</w:t>
      </w:r>
      <w:r w:rsidRPr="004552ED">
        <w:rPr>
          <w:rStyle w:val="apple-style-span"/>
          <w:rFonts w:ascii="Arial" w:hAnsi="Arial" w:cs="Arial"/>
          <w:sz w:val="20"/>
          <w:szCs w:val="20"/>
          <w:lang w:val="el-GR"/>
        </w:rPr>
        <w:t xml:space="preserve"> Η ενεργειακή μετάβαση είναι αναμφισβήτητα το πιο φιλόδοξο και σύνθετο κατασκευαστικό έργο στον κόσμο. Το πρόβλημα είναι ότι απαιτείται υπερβολικά πολύς χρόνος για την κατασκευή των έργων ΑΠΕ και των υποδομών από τις οποίες αυτά εξαρτώνται. </w:t>
      </w:r>
    </w:p>
    <w:p w14:paraId="3FCC8364"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 xml:space="preserve">Αναδυόμενες αγορές: </w:t>
      </w:r>
      <w:r w:rsidRPr="004552ED">
        <w:rPr>
          <w:rStyle w:val="apple-style-span"/>
          <w:rFonts w:ascii="Arial" w:hAnsi="Arial" w:cs="Arial"/>
          <w:sz w:val="20"/>
          <w:szCs w:val="20"/>
          <w:lang w:val="el-GR"/>
        </w:rPr>
        <w:t>Οι καταλυτικές επενδύσεις στις αναδυόμενες αγορές αποτελούν το κλειδί για την επιτάχυνση της εξάπλωσης των ΑΠΕ, καθώς και για την παροχή πρόσβασης στην ενέργεια για εκατομμύρια ανθρώπους, κάτι που θα τους αλλάξει τη ζωή.</w:t>
      </w:r>
    </w:p>
    <w:p w14:paraId="23D979E8"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Δίκαιη ενεργειακή μετάβαση:</w:t>
      </w:r>
      <w:r w:rsidRPr="004552ED">
        <w:rPr>
          <w:rStyle w:val="apple-style-span"/>
          <w:rFonts w:ascii="Arial" w:hAnsi="Arial" w:cs="Arial"/>
          <w:sz w:val="20"/>
          <w:szCs w:val="20"/>
          <w:lang w:val="el-GR"/>
        </w:rPr>
        <w:t xml:space="preserve"> Οι στόχοι μιας δίκαιης ενεργειακής μετάβασης είναι να διασφαλιστεί ότι τα οφέλη από τη μετάβαση σε ένα ενεργειακό σύστημα απαλλαγμένο από τον άνθρακα μοιράζονται δίκαια, ενώ οι δυνητικά αρνητικές επιπτώσεις μετριάζονται ή εξαλείφονται.</w:t>
      </w:r>
    </w:p>
    <w:p w14:paraId="6926864E"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Φύση και βιοποικιλότητα:</w:t>
      </w:r>
      <w:r w:rsidRPr="004552ED">
        <w:rPr>
          <w:rStyle w:val="apple-style-span"/>
          <w:rFonts w:ascii="Arial" w:hAnsi="Arial" w:cs="Arial"/>
          <w:sz w:val="20"/>
          <w:szCs w:val="20"/>
          <w:lang w:val="el-GR"/>
        </w:rPr>
        <w:t xml:space="preserve"> Ενώ η φύση και η βιοποικιλότητα εξαρτώνται από την ταχεία εξάπλωση των ανανεώσιμων πηγών ενέργειας προκειμένου να περιοριστούν οι αυξήσεις της θερμοκρασίας, η εφαρμογή τους κρύβει και πιθανές αρνητικές επιπτώσεις και θα πρέπει να ληφθούν μέτρα για τον περιορισμό ή την αποφυγή τους.</w:t>
      </w:r>
    </w:p>
    <w:p w14:paraId="05FB540D" w14:textId="1CD0E6E6"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Πρόσβαση σε κρίσιμες πρώτες ύλες:</w:t>
      </w:r>
      <w:r w:rsidRPr="004552ED">
        <w:rPr>
          <w:rStyle w:val="apple-style-span"/>
          <w:rFonts w:ascii="Arial" w:hAnsi="Arial" w:cs="Arial"/>
          <w:sz w:val="20"/>
          <w:szCs w:val="20"/>
          <w:lang w:val="el-GR"/>
        </w:rPr>
        <w:t xml:space="preserve"> Η κλιμάκωση των </w:t>
      </w:r>
      <w:r w:rsidR="00F95DE1">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απαιτεί πρόσβαση ανταγωνιστικού κόστους σε τεράστιο όγκο πρώτων υλών, όπως το κοβάλτιο, το νικέλιο, ο γραφίτης, ο χαλκός και το λίθιο.</w:t>
      </w:r>
    </w:p>
    <w:p w14:paraId="15D437EA" w14:textId="77777777" w:rsidR="004552ED" w:rsidRPr="004552ED" w:rsidRDefault="004552ED" w:rsidP="004552ED">
      <w:pPr>
        <w:pStyle w:val="ListParagraph"/>
        <w:widowControl/>
        <w:numPr>
          <w:ilvl w:val="0"/>
          <w:numId w:val="16"/>
        </w:numPr>
        <w:spacing w:before="100" w:beforeAutospacing="1" w:after="100" w:afterAutospacing="1"/>
        <w:rPr>
          <w:rStyle w:val="apple-style-span"/>
          <w:rFonts w:ascii="Arial" w:hAnsi="Arial" w:cs="Arial"/>
          <w:sz w:val="20"/>
          <w:szCs w:val="20"/>
          <w:lang w:val="el-GR"/>
        </w:rPr>
      </w:pPr>
      <w:r w:rsidRPr="004E3415">
        <w:rPr>
          <w:rStyle w:val="apple-style-span"/>
          <w:rFonts w:ascii="Arial" w:hAnsi="Arial" w:cs="Arial"/>
          <w:b/>
          <w:bCs/>
          <w:sz w:val="20"/>
          <w:szCs w:val="20"/>
          <w:lang w:val="el-GR"/>
        </w:rPr>
        <w:t>Επιτάχυνση των λύσεων αποθήκευσης:</w:t>
      </w:r>
      <w:r w:rsidRPr="004552ED">
        <w:rPr>
          <w:rStyle w:val="apple-style-span"/>
          <w:rFonts w:ascii="Arial" w:hAnsi="Arial" w:cs="Arial"/>
          <w:sz w:val="20"/>
          <w:szCs w:val="20"/>
          <w:lang w:val="el-GR"/>
        </w:rPr>
        <w:t xml:space="preserve"> Η αποθήκευση ενέργειας πρέπει να αποκτήσει μεγαλύτερη κλίμακα και οι τεχνολογίες αποθήκευσης να εξελιχθούν ώστε να αυξάνονται τα διαστήματα παροχής ηλεκτρικής ενέργειας και των άλλων υπηρεσιών δικτύου.</w:t>
      </w:r>
    </w:p>
    <w:p w14:paraId="0971C089" w14:textId="1536D701" w:rsidR="004552ED"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«Ο εντοπισμός αυτών των φραγμών και η θέσπιση λύσεων για βελτίωση είναι εξαιρετικά σημαντικός τόσο για τις ανεπτυγμένες όσο και για τις αναπτυσσόμενες χώρες</w:t>
      </w:r>
      <w:r w:rsidR="00F95DE1" w:rsidRPr="004552ED">
        <w:rPr>
          <w:rStyle w:val="apple-style-span"/>
          <w:rFonts w:ascii="Arial" w:hAnsi="Arial" w:cs="Arial"/>
          <w:sz w:val="20"/>
          <w:szCs w:val="20"/>
          <w:lang w:val="el-GR"/>
        </w:rPr>
        <w:t>»</w:t>
      </w:r>
      <w:r w:rsidR="00F95DE1">
        <w:rPr>
          <w:rStyle w:val="apple-style-span"/>
          <w:rFonts w:ascii="Arial" w:hAnsi="Arial" w:cs="Arial"/>
          <w:sz w:val="20"/>
          <w:szCs w:val="20"/>
          <w:lang w:val="el-GR"/>
        </w:rPr>
        <w:t>,</w:t>
      </w:r>
      <w:r w:rsidR="00F95DE1" w:rsidRPr="004552ED">
        <w:rPr>
          <w:rStyle w:val="apple-style-span"/>
          <w:rFonts w:ascii="Arial" w:hAnsi="Arial" w:cs="Arial"/>
          <w:sz w:val="20"/>
          <w:szCs w:val="20"/>
          <w:lang w:val="el-GR"/>
        </w:rPr>
        <w:t xml:space="preserve"> </w:t>
      </w:r>
      <w:r w:rsidRPr="004552ED">
        <w:rPr>
          <w:rStyle w:val="apple-style-span"/>
          <w:rFonts w:ascii="Arial" w:hAnsi="Arial" w:cs="Arial"/>
          <w:sz w:val="20"/>
          <w:szCs w:val="20"/>
          <w:lang w:val="el-GR"/>
        </w:rPr>
        <w:t xml:space="preserve">αναφέρει ο </w:t>
      </w:r>
      <w:r w:rsidRPr="00803621">
        <w:rPr>
          <w:rStyle w:val="apple-style-span"/>
          <w:rFonts w:ascii="Arial" w:hAnsi="Arial" w:cs="Arial"/>
          <w:b/>
          <w:bCs/>
          <w:sz w:val="20"/>
          <w:szCs w:val="20"/>
          <w:lang w:val="el-GR"/>
        </w:rPr>
        <w:t>Anish De, Global Head for Energy, Natural Resources &amp; Chemicals, KPMG International</w:t>
      </w:r>
      <w:r w:rsidRPr="004552ED">
        <w:rPr>
          <w:rStyle w:val="apple-style-span"/>
          <w:rFonts w:ascii="Arial" w:hAnsi="Arial" w:cs="Arial"/>
          <w:sz w:val="20"/>
          <w:szCs w:val="20"/>
          <w:lang w:val="el-GR"/>
        </w:rPr>
        <w:t xml:space="preserve">. «Η σύγκλιση μεταξύ των τομέων είναι το κλειδί. Τώρα είναι η ώρα για τις κυβερνήσεις, τη βιομηχανία και την κοινωνία συνολικά, να συνεργαστούν και να προχωρήσουν από την αναγνώριση των προκλήσεων στη λήψη ενεργούς δράσης με ουσιαστικό τρόπο».  </w:t>
      </w:r>
    </w:p>
    <w:p w14:paraId="7E56145B" w14:textId="7492BDC6" w:rsidR="00FE30B7" w:rsidRDefault="00FE30B7" w:rsidP="004552ED">
      <w:pPr>
        <w:ind w:left="360"/>
        <w:rPr>
          <w:rStyle w:val="apple-style-span"/>
          <w:rFonts w:ascii="Arial" w:hAnsi="Arial" w:cs="Arial"/>
          <w:sz w:val="20"/>
          <w:szCs w:val="20"/>
          <w:lang w:val="el-GR"/>
        </w:rPr>
      </w:pPr>
    </w:p>
    <w:p w14:paraId="3C87470C" w14:textId="285554EF" w:rsidR="00FE30B7" w:rsidRPr="00FE30B7" w:rsidRDefault="00FE30B7" w:rsidP="004552ED">
      <w:pPr>
        <w:ind w:left="360"/>
        <w:rPr>
          <w:rStyle w:val="apple-style-span"/>
          <w:rFonts w:ascii="Arial" w:hAnsi="Arial" w:cs="Arial"/>
          <w:sz w:val="20"/>
          <w:szCs w:val="20"/>
          <w:lang w:val="el-GR"/>
        </w:rPr>
      </w:pPr>
      <w:r w:rsidRPr="004E3415">
        <w:rPr>
          <w:rStyle w:val="apple-style-span"/>
          <w:rFonts w:ascii="Arial" w:hAnsi="Arial" w:cs="Arial"/>
          <w:b/>
          <w:bCs/>
          <w:sz w:val="20"/>
          <w:szCs w:val="20"/>
        </w:rPr>
        <w:t>O</w:t>
      </w:r>
      <w:r w:rsidRPr="004E3415">
        <w:rPr>
          <w:rStyle w:val="apple-style-span"/>
          <w:rFonts w:ascii="Arial" w:hAnsi="Arial" w:cs="Arial"/>
          <w:b/>
          <w:bCs/>
          <w:sz w:val="20"/>
          <w:szCs w:val="20"/>
          <w:lang w:val="el-GR"/>
        </w:rPr>
        <w:t xml:space="preserve"> Δημήτρης Παπακανέλλου, </w:t>
      </w:r>
      <w:r w:rsidRPr="004E3415">
        <w:rPr>
          <w:rStyle w:val="apple-style-span"/>
          <w:rFonts w:ascii="Arial" w:hAnsi="Arial" w:cs="Arial"/>
          <w:b/>
          <w:bCs/>
          <w:sz w:val="20"/>
          <w:szCs w:val="20"/>
        </w:rPr>
        <w:t>Partner</w:t>
      </w:r>
      <w:r w:rsidRPr="004E3415">
        <w:rPr>
          <w:rStyle w:val="apple-style-span"/>
          <w:rFonts w:ascii="Arial" w:hAnsi="Arial" w:cs="Arial"/>
          <w:b/>
          <w:bCs/>
          <w:sz w:val="20"/>
          <w:szCs w:val="20"/>
          <w:lang w:val="el-GR"/>
        </w:rPr>
        <w:t xml:space="preserve">, </w:t>
      </w:r>
      <w:r w:rsidRPr="004E3415">
        <w:rPr>
          <w:rStyle w:val="apple-style-span"/>
          <w:rFonts w:ascii="Arial" w:hAnsi="Arial" w:cs="Arial"/>
          <w:b/>
          <w:bCs/>
          <w:sz w:val="20"/>
          <w:szCs w:val="20"/>
        </w:rPr>
        <w:t>Consulting</w:t>
      </w:r>
      <w:r w:rsidRPr="004E3415">
        <w:rPr>
          <w:rStyle w:val="apple-style-span"/>
          <w:rFonts w:ascii="Arial" w:hAnsi="Arial" w:cs="Arial"/>
          <w:b/>
          <w:bCs/>
          <w:sz w:val="20"/>
          <w:szCs w:val="20"/>
          <w:lang w:val="el-GR"/>
        </w:rPr>
        <w:t xml:space="preserve">, </w:t>
      </w:r>
      <w:r w:rsidRPr="004E3415">
        <w:rPr>
          <w:rStyle w:val="apple-style-span"/>
          <w:rFonts w:ascii="Arial" w:hAnsi="Arial" w:cs="Arial"/>
          <w:b/>
          <w:bCs/>
          <w:sz w:val="20"/>
          <w:szCs w:val="20"/>
        </w:rPr>
        <w:t>KPMG</w:t>
      </w:r>
      <w:r w:rsidRPr="004E3415">
        <w:rPr>
          <w:rStyle w:val="apple-style-span"/>
          <w:rFonts w:ascii="Arial" w:hAnsi="Arial" w:cs="Arial"/>
          <w:b/>
          <w:bCs/>
          <w:sz w:val="20"/>
          <w:szCs w:val="20"/>
          <w:lang w:val="el-GR"/>
        </w:rPr>
        <w:t xml:space="preserve"> στην Ελλάδα</w:t>
      </w:r>
      <w:r w:rsidRPr="004E3415">
        <w:rPr>
          <w:rStyle w:val="apple-style-span"/>
          <w:rFonts w:ascii="Arial" w:hAnsi="Arial" w:cs="Arial"/>
          <w:sz w:val="20"/>
          <w:szCs w:val="20"/>
          <w:lang w:val="el-GR"/>
        </w:rPr>
        <w:t>, αναφέρει σχετικά με την έκθεση «</w:t>
      </w:r>
      <w:r w:rsidR="004D26E0" w:rsidRPr="004E3415">
        <w:rPr>
          <w:rStyle w:val="apple-style-span"/>
          <w:rFonts w:ascii="Arial" w:hAnsi="Arial" w:cs="Arial"/>
          <w:sz w:val="20"/>
          <w:szCs w:val="20"/>
          <w:lang w:val="el-GR"/>
        </w:rPr>
        <w:t xml:space="preserve">Η επίτευξη των στόχων μηδενικού ανθρακικού αποτυπώματος </w:t>
      </w:r>
      <w:r w:rsidR="00362F74" w:rsidRPr="004E3415">
        <w:rPr>
          <w:rStyle w:val="apple-style-span"/>
          <w:rFonts w:ascii="Arial" w:hAnsi="Arial" w:cs="Arial"/>
          <w:sz w:val="20"/>
          <w:szCs w:val="20"/>
          <w:lang w:val="el-GR"/>
        </w:rPr>
        <w:t xml:space="preserve">τοποθετούν τις ΑΠΕ στο προσκήνιο των εξελίξεων, τόσο για την παραγωγή ενέργειας όσο και έμμεσα για την παραγωγή πράσινου υδρογόνου και κλιματικά ουδέτερων καυσίμων. Η πρόσφατη μελέτη της </w:t>
      </w:r>
      <w:r w:rsidR="00362F74" w:rsidRPr="004E3415">
        <w:rPr>
          <w:rStyle w:val="apple-style-span"/>
          <w:rFonts w:ascii="Arial" w:hAnsi="Arial" w:cs="Arial"/>
          <w:sz w:val="20"/>
          <w:szCs w:val="20"/>
        </w:rPr>
        <w:t>KPMG</w:t>
      </w:r>
      <w:r w:rsidR="00362F74" w:rsidRPr="004E3415">
        <w:rPr>
          <w:rStyle w:val="apple-style-span"/>
          <w:rFonts w:ascii="Arial" w:hAnsi="Arial" w:cs="Arial"/>
          <w:sz w:val="20"/>
          <w:szCs w:val="20"/>
          <w:lang w:val="el-GR"/>
        </w:rPr>
        <w:t xml:space="preserve"> αναδεικνύει βασικές προκλήσεις που ενδέχεται να θέσουν σε κίνδυνο την απαιτούμενη διείσδυση των ΑΠΕ, όπως είναι για παράδειγμα </w:t>
      </w:r>
      <w:r w:rsidR="00563FBB" w:rsidRPr="004E3415">
        <w:rPr>
          <w:rStyle w:val="apple-style-span"/>
          <w:rFonts w:ascii="Arial" w:hAnsi="Arial" w:cs="Arial"/>
          <w:sz w:val="20"/>
          <w:szCs w:val="20"/>
          <w:lang w:val="el-GR"/>
        </w:rPr>
        <w:t xml:space="preserve">το κατάλληλο ρυθμιστικό περιβάλλον, η αξιόπιστη εφοδιαστική αλυσίδα και </w:t>
      </w:r>
      <w:r w:rsidR="00362F74" w:rsidRPr="004E3415">
        <w:rPr>
          <w:rStyle w:val="apple-style-span"/>
          <w:rFonts w:ascii="Arial" w:hAnsi="Arial" w:cs="Arial"/>
          <w:sz w:val="20"/>
          <w:szCs w:val="20"/>
          <w:lang w:val="el-GR"/>
        </w:rPr>
        <w:t xml:space="preserve">η ανάγκη για πρόσβαση σε </w:t>
      </w:r>
      <w:r w:rsidR="00563FBB" w:rsidRPr="004E3415">
        <w:rPr>
          <w:rStyle w:val="apple-style-span"/>
          <w:rFonts w:ascii="Arial" w:hAnsi="Arial" w:cs="Arial"/>
          <w:sz w:val="20"/>
          <w:szCs w:val="20"/>
          <w:lang w:val="el-GR"/>
        </w:rPr>
        <w:t xml:space="preserve">χρηματοδότηση – καθώς </w:t>
      </w:r>
      <w:r w:rsidR="00F504A5" w:rsidRPr="004E3415">
        <w:rPr>
          <w:rStyle w:val="apple-style-span"/>
          <w:rFonts w:ascii="Arial" w:hAnsi="Arial" w:cs="Arial"/>
          <w:sz w:val="20"/>
          <w:szCs w:val="20"/>
          <w:lang w:val="el-GR"/>
        </w:rPr>
        <w:t>και το μεγάλο ζήτημα των υποδομών δικτύων</w:t>
      </w:r>
      <w:r w:rsidR="00563FBB" w:rsidRPr="004E3415">
        <w:rPr>
          <w:rStyle w:val="apple-style-span"/>
          <w:rFonts w:ascii="Arial" w:hAnsi="Arial" w:cs="Arial"/>
          <w:sz w:val="20"/>
          <w:szCs w:val="20"/>
          <w:lang w:val="el-GR"/>
        </w:rPr>
        <w:t>. Τ</w:t>
      </w:r>
      <w:r w:rsidR="00F504A5" w:rsidRPr="004E3415">
        <w:rPr>
          <w:rStyle w:val="apple-style-span"/>
          <w:rFonts w:ascii="Arial" w:hAnsi="Arial" w:cs="Arial"/>
          <w:sz w:val="20"/>
          <w:szCs w:val="20"/>
          <w:lang w:val="el-GR"/>
        </w:rPr>
        <w:t>ο</w:t>
      </w:r>
      <w:r w:rsidR="00880C6C" w:rsidRPr="004E3415">
        <w:rPr>
          <w:rStyle w:val="apple-style-span"/>
          <w:rFonts w:ascii="Arial" w:hAnsi="Arial" w:cs="Arial"/>
          <w:sz w:val="20"/>
          <w:szCs w:val="20"/>
          <w:lang w:val="el-GR"/>
        </w:rPr>
        <w:t xml:space="preserve"> 74</w:t>
      </w:r>
      <w:r w:rsidR="00F504A5" w:rsidRPr="004E3415">
        <w:rPr>
          <w:rStyle w:val="apple-style-span"/>
          <w:rFonts w:ascii="Arial" w:hAnsi="Arial" w:cs="Arial"/>
          <w:sz w:val="20"/>
          <w:szCs w:val="20"/>
          <w:lang w:val="el-GR"/>
        </w:rPr>
        <w:t>% των ερωτηθέτων απάντησαν πως η έλλειψη επενδύσεων στα ηλεκτρικά δίκτυα αποτελεί βασικό εμπόδιο στην περαιτέρω ανάπτυξη των ανανεώσιμων πηγών ενέργειας.</w:t>
      </w:r>
      <w:r w:rsidR="00563FBB" w:rsidRPr="004E3415">
        <w:rPr>
          <w:rStyle w:val="apple-style-span"/>
          <w:rFonts w:ascii="Arial" w:hAnsi="Arial" w:cs="Arial"/>
          <w:sz w:val="20"/>
          <w:szCs w:val="20"/>
          <w:lang w:val="el-GR"/>
        </w:rPr>
        <w:t xml:space="preserve"> Το ζήτημα αυτό είναι και ιδιαίτερα σημαντικό για την χώρα μας – όπου απαιτείται και η ενδυνάμωση του εγχώριου συστήματος μεταφοράς και διανομής αλλά και η διασύνδεση με τις αγορές της Κεντρικής Ευρώπης για να είναι δυνατή η εκμετάλλευση του δυναμικού ΑΠΕ της χώρας.</w:t>
      </w:r>
      <w:r w:rsidR="00F504A5" w:rsidRPr="004E3415">
        <w:rPr>
          <w:rStyle w:val="apple-style-span"/>
          <w:rFonts w:ascii="Arial" w:hAnsi="Arial" w:cs="Arial"/>
          <w:sz w:val="20"/>
          <w:szCs w:val="20"/>
          <w:lang w:val="el-GR"/>
        </w:rPr>
        <w:t>»</w:t>
      </w:r>
    </w:p>
    <w:p w14:paraId="6BF407E8" w14:textId="77777777" w:rsidR="004552ED" w:rsidRPr="00FE30B7" w:rsidRDefault="004552ED" w:rsidP="004552ED">
      <w:pPr>
        <w:rPr>
          <w:rStyle w:val="apple-style-span"/>
          <w:rFonts w:ascii="Arial" w:hAnsi="Arial" w:cs="Arial"/>
          <w:sz w:val="20"/>
          <w:szCs w:val="20"/>
          <w:lang w:val="el-GR"/>
        </w:rPr>
      </w:pPr>
    </w:p>
    <w:p w14:paraId="52C065E6" w14:textId="6764306B" w:rsidR="00B33768" w:rsidRDefault="004552ED" w:rsidP="004552ED">
      <w:pPr>
        <w:ind w:left="360"/>
        <w:rPr>
          <w:rStyle w:val="apple-style-span"/>
          <w:rFonts w:ascii="Arial" w:hAnsi="Arial" w:cs="Arial"/>
          <w:sz w:val="20"/>
          <w:szCs w:val="20"/>
          <w:lang w:val="el-GR"/>
        </w:rPr>
      </w:pPr>
      <w:r w:rsidRPr="004552ED">
        <w:rPr>
          <w:rStyle w:val="apple-style-span"/>
          <w:rFonts w:ascii="Arial" w:hAnsi="Arial" w:cs="Arial"/>
          <w:sz w:val="20"/>
          <w:szCs w:val="20"/>
          <w:lang w:val="el-GR"/>
        </w:rPr>
        <w:t xml:space="preserve">Οι επαγγελματίες της KPMG μοιράστηκαν την έκθεση στις εκδηλώσεις της Συνόδου COP28 στο Ντουμπάι στις αρχές Δεκεμβρίου και κάλεσαν την οικονομική κοινότητα, τις εταιρείες ενέργειας, τους υπεύθυνους χάραξης πολιτικής, την ακαδημαϊκή κοινότητα, τις δεξαμενές σκέψης, τους πρωτοπόρους σκέψης και τα </w:t>
      </w:r>
      <w:r w:rsidRPr="004552ED">
        <w:rPr>
          <w:rStyle w:val="apple-style-span"/>
          <w:rFonts w:ascii="Arial" w:hAnsi="Arial" w:cs="Arial"/>
          <w:sz w:val="20"/>
          <w:szCs w:val="20"/>
          <w:lang w:val="el-GR"/>
        </w:rPr>
        <w:lastRenderedPageBreak/>
        <w:t xml:space="preserve">κυβερνητικά όργανα να συνεργαστούν, ώστε να καταφέρουν να επιταχύνουν τον ρυθμό και την κλίμακα της εφαρμογής των </w:t>
      </w:r>
      <w:r w:rsidR="00B33768">
        <w:rPr>
          <w:rStyle w:val="apple-style-span"/>
          <w:rFonts w:ascii="Arial" w:hAnsi="Arial" w:cs="Arial"/>
          <w:sz w:val="20"/>
          <w:szCs w:val="20"/>
          <w:lang w:val="el-GR"/>
        </w:rPr>
        <w:t>ΑΠΕ</w:t>
      </w:r>
      <w:r w:rsidRPr="004552ED">
        <w:rPr>
          <w:rStyle w:val="apple-style-span"/>
          <w:rFonts w:ascii="Arial" w:hAnsi="Arial" w:cs="Arial"/>
          <w:sz w:val="20"/>
          <w:szCs w:val="20"/>
          <w:lang w:val="el-GR"/>
        </w:rPr>
        <w:t xml:space="preserve"> . </w:t>
      </w:r>
    </w:p>
    <w:p w14:paraId="3B08CD0E" w14:textId="77777777" w:rsidR="00B33768" w:rsidRDefault="00B33768" w:rsidP="004552ED">
      <w:pPr>
        <w:ind w:left="360"/>
        <w:rPr>
          <w:rStyle w:val="apple-style-span"/>
          <w:rFonts w:ascii="Arial" w:hAnsi="Arial" w:cs="Arial"/>
          <w:sz w:val="20"/>
          <w:szCs w:val="20"/>
          <w:lang w:val="el-GR"/>
        </w:rPr>
      </w:pPr>
    </w:p>
    <w:p w14:paraId="0BE03BB5" w14:textId="55FB624A" w:rsidR="004552ED" w:rsidRPr="00803621" w:rsidRDefault="00B33768" w:rsidP="004552ED">
      <w:pPr>
        <w:ind w:left="360"/>
        <w:rPr>
          <w:rStyle w:val="apple-style-span"/>
          <w:rFonts w:ascii="Arial" w:hAnsi="Arial" w:cs="Arial"/>
          <w:sz w:val="20"/>
          <w:szCs w:val="20"/>
        </w:rPr>
      </w:pPr>
      <w:r>
        <w:rPr>
          <w:rStyle w:val="apple-style-span"/>
          <w:rFonts w:ascii="Arial" w:hAnsi="Arial" w:cs="Arial"/>
          <w:sz w:val="20"/>
          <w:szCs w:val="20"/>
          <w:lang w:val="el-GR"/>
        </w:rPr>
        <w:t>Βρείτε</w:t>
      </w:r>
      <w:r w:rsidRPr="00803621">
        <w:rPr>
          <w:rStyle w:val="apple-style-span"/>
          <w:rFonts w:ascii="Arial" w:hAnsi="Arial" w:cs="Arial"/>
          <w:sz w:val="20"/>
          <w:szCs w:val="20"/>
        </w:rPr>
        <w:t xml:space="preserve"> </w:t>
      </w:r>
      <w:r>
        <w:rPr>
          <w:rStyle w:val="apple-style-span"/>
          <w:rFonts w:ascii="Arial" w:hAnsi="Arial" w:cs="Arial"/>
          <w:sz w:val="20"/>
          <w:szCs w:val="20"/>
          <w:lang w:val="el-GR"/>
        </w:rPr>
        <w:t>την</w:t>
      </w:r>
      <w:r w:rsidRPr="00803621">
        <w:rPr>
          <w:rStyle w:val="apple-style-span"/>
          <w:rFonts w:ascii="Arial" w:hAnsi="Arial" w:cs="Arial"/>
          <w:sz w:val="20"/>
          <w:szCs w:val="20"/>
        </w:rPr>
        <w:t xml:space="preserve"> </w:t>
      </w:r>
      <w:r>
        <w:rPr>
          <w:rStyle w:val="apple-style-span"/>
          <w:rFonts w:ascii="Arial" w:hAnsi="Arial" w:cs="Arial"/>
          <w:sz w:val="20"/>
          <w:szCs w:val="20"/>
          <w:lang w:val="el-GR"/>
        </w:rPr>
        <w:t>έκθεση</w:t>
      </w:r>
      <w:r w:rsidR="004552ED" w:rsidRPr="00803621">
        <w:rPr>
          <w:rStyle w:val="apple-style-span"/>
          <w:rFonts w:ascii="Arial" w:hAnsi="Arial" w:cs="Arial"/>
          <w:sz w:val="20"/>
          <w:szCs w:val="20"/>
        </w:rPr>
        <w:t xml:space="preserve"> </w:t>
      </w:r>
      <w:r w:rsidRPr="00B33768">
        <w:rPr>
          <w:rStyle w:val="apple-style-span"/>
          <w:rFonts w:ascii="Arial" w:hAnsi="Arial" w:cs="Arial"/>
          <w:sz w:val="20"/>
          <w:szCs w:val="20"/>
        </w:rPr>
        <w:t>“</w:t>
      </w:r>
      <w:r w:rsidRPr="00B33768">
        <w:t xml:space="preserve"> </w:t>
      </w:r>
      <w:r w:rsidRPr="00803621">
        <w:rPr>
          <w:rStyle w:val="apple-style-span"/>
          <w:rFonts w:ascii="Arial" w:hAnsi="Arial" w:cs="Arial"/>
          <w:sz w:val="20"/>
          <w:szCs w:val="20"/>
        </w:rPr>
        <w:t>Turning the tide in scaling renewables</w:t>
      </w:r>
      <w:r w:rsidRPr="00B33768">
        <w:rPr>
          <w:rStyle w:val="apple-style-span"/>
          <w:rFonts w:ascii="Arial" w:hAnsi="Arial" w:cs="Arial"/>
          <w:sz w:val="20"/>
          <w:szCs w:val="20"/>
        </w:rPr>
        <w:t>”</w:t>
      </w:r>
      <w:r w:rsidR="004552ED" w:rsidRPr="00803621">
        <w:rPr>
          <w:rStyle w:val="apple-style-span"/>
          <w:rFonts w:ascii="Arial" w:hAnsi="Arial" w:cs="Arial"/>
          <w:sz w:val="20"/>
          <w:szCs w:val="20"/>
        </w:rPr>
        <w:t>»</w:t>
      </w:r>
      <w:hyperlink r:id="rId13" w:history="1">
        <w:r w:rsidRPr="00B33768">
          <w:rPr>
            <w:rStyle w:val="Hyperlink"/>
            <w:rFonts w:ascii="Arial" w:hAnsi="Arial" w:cs="Arial"/>
            <w:sz w:val="20"/>
            <w:szCs w:val="20"/>
            <w:lang w:val="el-GR"/>
          </w:rPr>
          <w:t>εδώ</w:t>
        </w:r>
      </w:hyperlink>
      <w:r>
        <w:rPr>
          <w:rStyle w:val="apple-style-span"/>
          <w:rFonts w:ascii="Arial" w:hAnsi="Arial" w:cs="Arial"/>
          <w:sz w:val="20"/>
          <w:szCs w:val="20"/>
        </w:rPr>
        <w:t xml:space="preserve"> </w:t>
      </w:r>
      <w:r w:rsidR="004552ED" w:rsidRPr="00803621">
        <w:rPr>
          <w:rStyle w:val="apple-style-span"/>
          <w:rFonts w:ascii="Arial" w:hAnsi="Arial" w:cs="Arial"/>
          <w:sz w:val="20"/>
          <w:szCs w:val="20"/>
        </w:rPr>
        <w:t xml:space="preserve">. </w:t>
      </w:r>
    </w:p>
    <w:p w14:paraId="11C16A48" w14:textId="4C5A53C6" w:rsidR="00E86775" w:rsidRPr="00803621" w:rsidRDefault="00462192" w:rsidP="004552ED">
      <w:pPr>
        <w:keepNext/>
        <w:widowControl/>
        <w:tabs>
          <w:tab w:val="left" w:pos="426"/>
        </w:tabs>
        <w:autoSpaceDE w:val="0"/>
        <w:autoSpaceDN w:val="0"/>
        <w:adjustRightInd w:val="0"/>
        <w:spacing w:before="120"/>
        <w:ind w:right="45"/>
        <w:jc w:val="both"/>
        <w:rPr>
          <w:rFonts w:ascii="Arial" w:eastAsia="Calibri" w:hAnsi="Arial" w:cs="Arial"/>
          <w:sz w:val="20"/>
          <w:szCs w:val="20"/>
        </w:rPr>
      </w:pPr>
      <w:r w:rsidRPr="00803621">
        <w:rPr>
          <w:rFonts w:ascii="Arial" w:eastAsia="Calibri" w:hAnsi="Arial" w:cs="Arial"/>
          <w:sz w:val="20"/>
          <w:szCs w:val="20"/>
        </w:rPr>
        <w:br/>
      </w:r>
    </w:p>
    <w:p w14:paraId="43A5C9C8" w14:textId="67C87F1D" w:rsidR="008A6ECB" w:rsidRPr="00CF333C" w:rsidRDefault="008A6ECB" w:rsidP="00E86775">
      <w:pPr>
        <w:keepNext/>
        <w:widowControl/>
        <w:tabs>
          <w:tab w:val="left" w:pos="426"/>
        </w:tabs>
        <w:autoSpaceDE w:val="0"/>
        <w:autoSpaceDN w:val="0"/>
        <w:adjustRightInd w:val="0"/>
        <w:spacing w:before="120"/>
        <w:ind w:left="360" w:right="45"/>
        <w:jc w:val="both"/>
        <w:rPr>
          <w:rFonts w:ascii="Arial" w:eastAsia="Times New Roman" w:hAnsi="Arial" w:cs="Arial"/>
          <w:b/>
          <w:color w:val="000000"/>
          <w:sz w:val="20"/>
          <w:szCs w:val="20"/>
          <w:u w:val="single"/>
          <w:lang w:val="el-GR"/>
        </w:rPr>
      </w:pPr>
      <w:r w:rsidRPr="00CF333C">
        <w:rPr>
          <w:rFonts w:ascii="Arial" w:eastAsia="Times New Roman" w:hAnsi="Arial" w:cs="Arial"/>
          <w:b/>
          <w:color w:val="000000"/>
          <w:sz w:val="20"/>
          <w:szCs w:val="20"/>
          <w:u w:val="single"/>
          <w:lang w:val="el-GR"/>
        </w:rPr>
        <w:t xml:space="preserve">ΛΙΓΑ ΛΟΓΙΑ ΓΙΑ ΤΗΝ </w:t>
      </w:r>
      <w:r w:rsidRPr="00CF333C">
        <w:rPr>
          <w:rFonts w:ascii="Arial" w:eastAsia="Times New Roman" w:hAnsi="Arial" w:cs="Arial"/>
          <w:b/>
          <w:color w:val="000000"/>
          <w:sz w:val="20"/>
          <w:szCs w:val="20"/>
          <w:u w:val="single"/>
          <w:lang w:val="es-ES"/>
        </w:rPr>
        <w:t>KPMG</w:t>
      </w:r>
    </w:p>
    <w:p w14:paraId="3802A3E1" w14:textId="77777777" w:rsidR="0075489B" w:rsidRPr="0075489B" w:rsidRDefault="0075489B" w:rsidP="0075489B">
      <w:pPr>
        <w:widowControl/>
        <w:tabs>
          <w:tab w:val="left" w:pos="426"/>
        </w:tabs>
        <w:spacing w:before="120"/>
        <w:ind w:left="360" w:right="43"/>
        <w:rPr>
          <w:rStyle w:val="apple-style-span"/>
          <w:rFonts w:ascii="Arial" w:hAnsi="Arial" w:cs="Arial"/>
          <w:sz w:val="20"/>
          <w:szCs w:val="20"/>
          <w:lang w:val="el-GR"/>
        </w:rPr>
      </w:pPr>
      <w:r w:rsidRPr="0075489B">
        <w:rPr>
          <w:rStyle w:val="apple-style-span"/>
          <w:rFonts w:ascii="Arial" w:hAnsi="Arial" w:cs="Arial"/>
          <w:sz w:val="20"/>
          <w:szCs w:val="20"/>
          <w:lang w:val="el-GR"/>
        </w:rPr>
        <w:t>Η KPMG είναι ένας παγκόσμιος οργανισμός ανεξάρτητων εταιρειών παροχής Ελεγκτικών, Φορολογικών και Συμβουλευτικών υπηρεσιών. Οι εταιρείες μέλη της KPMG International Limited («KPMG International») δραστηριοποιούνται και παρέχουν επαγγελματικές υπηρεσίες με την επωνυμία «KPMG». Ο όρος «KPMG» μπορεί να αναφέρεται σε ξεχωριστές εταιρείες μέλη του οργανισμού της KPMG ή σε μία ή περισσότερες από τις εταιρείες μέλη ταυτόχρονα.</w:t>
      </w:r>
    </w:p>
    <w:p w14:paraId="5855B625" w14:textId="77777777" w:rsidR="0075489B" w:rsidRPr="0075489B" w:rsidRDefault="0075489B" w:rsidP="0075489B">
      <w:pPr>
        <w:widowControl/>
        <w:tabs>
          <w:tab w:val="left" w:pos="426"/>
        </w:tabs>
        <w:spacing w:before="120"/>
        <w:ind w:left="360" w:right="43"/>
        <w:rPr>
          <w:rStyle w:val="apple-style-span"/>
          <w:rFonts w:ascii="Arial" w:hAnsi="Arial" w:cs="Arial"/>
          <w:sz w:val="20"/>
          <w:szCs w:val="20"/>
          <w:lang w:val="el-GR"/>
        </w:rPr>
      </w:pPr>
      <w:r w:rsidRPr="0075489B">
        <w:rPr>
          <w:rStyle w:val="apple-style-span"/>
          <w:rFonts w:ascii="Arial" w:hAnsi="Arial" w:cs="Arial"/>
          <w:sz w:val="20"/>
          <w:szCs w:val="20"/>
          <w:lang w:val="el-GR"/>
        </w:rPr>
        <w:t>Οι εταιρείες της KPMG δραστηριοποιούνται σε 143 χώρες και περιοχές, ενώ απασχολούν στις εταιρείες-μέλη παγκοσμίως περισσότερους από 273 000 συνεταίρους και εργαζομένους. Κάθε εταιρεία της KPMG είναι μια νομικά διακριτή και αυτοτελής οντότητα και αυτοχαρακτηρίζεται ως τέτοια. Κάθε εταιρεία-μέλος της KPMG είναι υπεύθυνη για τις δικές της υποχρεώσεις και ευθύνες.</w:t>
      </w:r>
    </w:p>
    <w:p w14:paraId="6B398740" w14:textId="77777777" w:rsidR="0075489B" w:rsidRPr="0075489B" w:rsidRDefault="0075489B" w:rsidP="0075489B">
      <w:pPr>
        <w:widowControl/>
        <w:tabs>
          <w:tab w:val="left" w:pos="426"/>
        </w:tabs>
        <w:spacing w:before="120"/>
        <w:ind w:left="360" w:right="43"/>
        <w:rPr>
          <w:rStyle w:val="apple-style-span"/>
          <w:rFonts w:ascii="Arial" w:hAnsi="Arial" w:cs="Arial"/>
          <w:sz w:val="20"/>
          <w:szCs w:val="20"/>
          <w:lang w:val="el-GR"/>
        </w:rPr>
      </w:pPr>
      <w:r w:rsidRPr="0075489B">
        <w:rPr>
          <w:rStyle w:val="apple-style-span"/>
          <w:rFonts w:ascii="Arial" w:hAnsi="Arial" w:cs="Arial"/>
          <w:sz w:val="20"/>
          <w:szCs w:val="20"/>
          <w:lang w:val="el-GR"/>
        </w:rPr>
        <w:t>H KPMG International Limited είναι ιδιωτική Αγγλική εταιρεία περιορισμένης ευθύνης με εγγυητικές εισφορές. H KPMG International Limited και οι σχετικές με αυτή οντότητες δεν παρέχουν υπηρεσίες σε πελάτες.</w:t>
      </w:r>
    </w:p>
    <w:p w14:paraId="7BA1D66C" w14:textId="68AD74ED" w:rsidR="00E86775" w:rsidRDefault="0075489B" w:rsidP="0075489B">
      <w:pPr>
        <w:widowControl/>
        <w:tabs>
          <w:tab w:val="left" w:pos="426"/>
        </w:tabs>
        <w:spacing w:before="120"/>
        <w:ind w:left="360" w:right="43"/>
        <w:rPr>
          <w:rStyle w:val="apple-style-span"/>
          <w:rFonts w:ascii="Arial" w:hAnsi="Arial" w:cs="Arial"/>
          <w:sz w:val="20"/>
          <w:szCs w:val="20"/>
          <w:lang w:val="el-GR"/>
        </w:rPr>
      </w:pPr>
      <w:r w:rsidRPr="0075489B">
        <w:rPr>
          <w:rStyle w:val="apple-style-span"/>
          <w:rFonts w:ascii="Arial" w:hAnsi="Arial" w:cs="Arial"/>
          <w:sz w:val="20"/>
          <w:szCs w:val="20"/>
          <w:lang w:val="el-GR"/>
        </w:rPr>
        <w:t>Για περισσότερες πληροφορίες σχετικά με τη δομή μας μπορείτε να επισκεφθείτε τη σελίδα home.kpmg/governance</w:t>
      </w:r>
      <w:r>
        <w:rPr>
          <w:rStyle w:val="apple-style-span"/>
          <w:rFonts w:ascii="Arial" w:hAnsi="Arial" w:cs="Arial"/>
          <w:sz w:val="20"/>
          <w:szCs w:val="20"/>
          <w:lang w:val="el-GR"/>
        </w:rPr>
        <w:br/>
      </w:r>
    </w:p>
    <w:p w14:paraId="33054A29" w14:textId="77777777" w:rsidR="00E86775" w:rsidRPr="00CF333C" w:rsidRDefault="00E86775" w:rsidP="00E86775">
      <w:pPr>
        <w:widowControl/>
        <w:tabs>
          <w:tab w:val="left" w:pos="426"/>
        </w:tabs>
        <w:spacing w:before="120"/>
        <w:ind w:left="426" w:right="43"/>
        <w:rPr>
          <w:rFonts w:ascii="Arial" w:eastAsia="Times New Roman" w:hAnsi="Arial" w:cs="Arial"/>
          <w:sz w:val="20"/>
          <w:szCs w:val="20"/>
          <w:lang w:val="el-GR"/>
        </w:rPr>
      </w:pPr>
      <w:r w:rsidRPr="00CF333C">
        <w:rPr>
          <w:rFonts w:ascii="Arial" w:eastAsia="Times New Roman" w:hAnsi="Arial" w:cs="Arial"/>
          <w:b/>
          <w:sz w:val="20"/>
          <w:szCs w:val="20"/>
          <w:u w:val="single"/>
          <w:lang w:val="el-GR"/>
        </w:rPr>
        <w:t>Σημείωση για το Συντάκτη</w:t>
      </w:r>
      <w:r w:rsidRPr="00CF333C">
        <w:rPr>
          <w:rFonts w:ascii="Arial" w:eastAsia="Times New Roman" w:hAnsi="Arial" w:cs="Arial"/>
          <w:sz w:val="20"/>
          <w:szCs w:val="20"/>
          <w:lang w:val="el-GR"/>
        </w:rPr>
        <w:t xml:space="preserve">: Για περισσότερες πληροφορίες μπορείτε να επικοινωνήσετε με τον Αλκιβιάδη Σιαράβα, </w:t>
      </w:r>
      <w:r w:rsidRPr="00CF333C">
        <w:rPr>
          <w:rFonts w:ascii="Arial" w:eastAsia="Times New Roman" w:hAnsi="Arial" w:cs="Arial"/>
          <w:sz w:val="20"/>
          <w:szCs w:val="20"/>
        </w:rPr>
        <w:t>Marketing</w:t>
      </w:r>
      <w:r w:rsidRPr="00CF333C">
        <w:rPr>
          <w:rFonts w:ascii="Arial" w:eastAsia="Times New Roman" w:hAnsi="Arial" w:cs="Arial"/>
          <w:sz w:val="20"/>
          <w:szCs w:val="20"/>
          <w:lang w:val="el-GR"/>
        </w:rPr>
        <w:t xml:space="preserve">, </w:t>
      </w:r>
      <w:r w:rsidRPr="00CF333C">
        <w:rPr>
          <w:rFonts w:ascii="Arial" w:eastAsia="Times New Roman" w:hAnsi="Arial" w:cs="Arial"/>
          <w:sz w:val="20"/>
          <w:szCs w:val="20"/>
        </w:rPr>
        <w:t>Communications</w:t>
      </w:r>
      <w:r w:rsidRPr="00CF333C">
        <w:rPr>
          <w:rFonts w:ascii="Arial" w:eastAsia="Times New Roman" w:hAnsi="Arial" w:cs="Arial"/>
          <w:sz w:val="20"/>
          <w:szCs w:val="20"/>
          <w:lang w:val="el-GR"/>
        </w:rPr>
        <w:t xml:space="preserve"> &amp; </w:t>
      </w:r>
      <w:r w:rsidRPr="00CF333C">
        <w:rPr>
          <w:rFonts w:ascii="Arial" w:eastAsia="Times New Roman" w:hAnsi="Arial" w:cs="Arial"/>
          <w:sz w:val="20"/>
          <w:szCs w:val="20"/>
        </w:rPr>
        <w:t>Corporate</w:t>
      </w:r>
      <w:r w:rsidRPr="00CF333C">
        <w:rPr>
          <w:rFonts w:ascii="Arial" w:eastAsia="Times New Roman" w:hAnsi="Arial" w:cs="Arial"/>
          <w:sz w:val="20"/>
          <w:szCs w:val="20"/>
          <w:lang w:val="el-GR"/>
        </w:rPr>
        <w:t xml:space="preserve"> </w:t>
      </w:r>
      <w:r w:rsidRPr="00CF333C">
        <w:rPr>
          <w:rFonts w:ascii="Arial" w:eastAsia="Times New Roman" w:hAnsi="Arial" w:cs="Arial"/>
          <w:sz w:val="20"/>
          <w:szCs w:val="20"/>
        </w:rPr>
        <w:t>Citizenship</w:t>
      </w:r>
      <w:r w:rsidRPr="00CF333C">
        <w:rPr>
          <w:rFonts w:ascii="Arial" w:eastAsia="Times New Roman" w:hAnsi="Arial" w:cs="Arial"/>
          <w:sz w:val="20"/>
          <w:szCs w:val="20"/>
          <w:lang w:val="el-GR"/>
        </w:rPr>
        <w:t xml:space="preserve"> </w:t>
      </w:r>
      <w:r w:rsidRPr="00CF333C">
        <w:rPr>
          <w:rFonts w:ascii="Arial" w:eastAsia="Times New Roman" w:hAnsi="Arial" w:cs="Arial"/>
          <w:sz w:val="20"/>
          <w:szCs w:val="20"/>
        </w:rPr>
        <w:t>Manager</w:t>
      </w:r>
      <w:r w:rsidRPr="00CF333C">
        <w:rPr>
          <w:rFonts w:ascii="Arial" w:eastAsia="Times New Roman" w:hAnsi="Arial" w:cs="Arial"/>
          <w:sz w:val="20"/>
          <w:szCs w:val="20"/>
          <w:lang w:val="el-GR"/>
        </w:rPr>
        <w:t xml:space="preserve"> της </w:t>
      </w:r>
      <w:r w:rsidRPr="00CF333C">
        <w:rPr>
          <w:rFonts w:ascii="Arial" w:eastAsia="Times New Roman" w:hAnsi="Arial" w:cs="Arial"/>
          <w:sz w:val="20"/>
          <w:szCs w:val="20"/>
          <w:lang w:val="en-AU"/>
        </w:rPr>
        <w:t>KPMG</w:t>
      </w:r>
      <w:r w:rsidRPr="00CF333C">
        <w:rPr>
          <w:rFonts w:ascii="Arial" w:eastAsia="Times New Roman" w:hAnsi="Arial" w:cs="Arial"/>
          <w:sz w:val="20"/>
          <w:szCs w:val="20"/>
          <w:lang w:val="el-GR"/>
        </w:rPr>
        <w:t xml:space="preserve">, τηλ. 211 18 15 857, </w:t>
      </w:r>
      <w:hyperlink r:id="rId14" w:history="1">
        <w:r w:rsidRPr="00CF333C">
          <w:rPr>
            <w:rStyle w:val="Hyperlink"/>
            <w:rFonts w:ascii="Arial" w:eastAsia="Times New Roman" w:hAnsi="Arial" w:cs="Arial"/>
            <w:sz w:val="20"/>
            <w:szCs w:val="20"/>
            <w:lang w:val="en-AU"/>
          </w:rPr>
          <w:t>asiaravas</w:t>
        </w:r>
        <w:r w:rsidRPr="00CF333C">
          <w:rPr>
            <w:rStyle w:val="Hyperlink"/>
            <w:rFonts w:ascii="Arial" w:eastAsia="Times New Roman" w:hAnsi="Arial" w:cs="Arial"/>
            <w:sz w:val="20"/>
            <w:szCs w:val="20"/>
            <w:lang w:val="el-GR"/>
          </w:rPr>
          <w:t>@</w:t>
        </w:r>
        <w:r w:rsidRPr="00CF333C">
          <w:rPr>
            <w:rStyle w:val="Hyperlink"/>
            <w:rFonts w:ascii="Arial" w:eastAsia="Times New Roman" w:hAnsi="Arial" w:cs="Arial"/>
            <w:sz w:val="20"/>
            <w:szCs w:val="20"/>
            <w:lang w:val="en-AU"/>
          </w:rPr>
          <w:t>kpmg</w:t>
        </w:r>
        <w:r w:rsidRPr="00CF333C">
          <w:rPr>
            <w:rStyle w:val="Hyperlink"/>
            <w:rFonts w:ascii="Arial" w:eastAsia="Times New Roman" w:hAnsi="Arial" w:cs="Arial"/>
            <w:sz w:val="20"/>
            <w:szCs w:val="20"/>
            <w:lang w:val="el-GR"/>
          </w:rPr>
          <w:t>.</w:t>
        </w:r>
        <w:r w:rsidRPr="00CF333C">
          <w:rPr>
            <w:rStyle w:val="Hyperlink"/>
            <w:rFonts w:ascii="Arial" w:eastAsia="Times New Roman" w:hAnsi="Arial" w:cs="Arial"/>
            <w:sz w:val="20"/>
            <w:szCs w:val="20"/>
            <w:lang w:val="en-AU"/>
          </w:rPr>
          <w:t>gr</w:t>
        </w:r>
      </w:hyperlink>
      <w:r w:rsidRPr="00CF333C">
        <w:rPr>
          <w:rFonts w:ascii="Arial" w:eastAsia="Times New Roman" w:hAnsi="Arial" w:cs="Arial"/>
          <w:sz w:val="20"/>
          <w:szCs w:val="20"/>
          <w:lang w:val="el-GR"/>
        </w:rPr>
        <w:t xml:space="preserve"> </w:t>
      </w:r>
    </w:p>
    <w:p w14:paraId="6CFACF0C" w14:textId="77777777" w:rsidR="00E86775" w:rsidRPr="00CF333C" w:rsidRDefault="00E86775" w:rsidP="00E86775">
      <w:pPr>
        <w:pStyle w:val="Heading1"/>
        <w:tabs>
          <w:tab w:val="left" w:pos="3198"/>
        </w:tabs>
        <w:ind w:left="426"/>
        <w:rPr>
          <w:rFonts w:ascii="Arial" w:eastAsia="Times New Roman" w:hAnsi="Arial" w:cs="Arial"/>
          <w:b w:val="0"/>
          <w:bCs w:val="0"/>
          <w:lang w:val="el-GR"/>
        </w:rPr>
      </w:pPr>
      <w:r w:rsidRPr="00CF333C">
        <w:rPr>
          <w:rFonts w:ascii="Arial" w:eastAsia="Times New Roman" w:hAnsi="Arial" w:cs="Arial"/>
          <w:b w:val="0"/>
          <w:bCs w:val="0"/>
          <w:lang w:val="el-GR"/>
        </w:rPr>
        <w:t xml:space="preserve">       </w:t>
      </w:r>
    </w:p>
    <w:p w14:paraId="6CE5FC7D" w14:textId="77777777" w:rsidR="00E86775" w:rsidRPr="00CF333C" w:rsidRDefault="00E86775" w:rsidP="00E86775">
      <w:pPr>
        <w:pStyle w:val="Heading1"/>
        <w:tabs>
          <w:tab w:val="left" w:pos="3198"/>
        </w:tabs>
        <w:rPr>
          <w:rFonts w:ascii="Arial" w:hAnsi="Arial" w:cs="Arial"/>
          <w:color w:val="004E98"/>
        </w:rPr>
      </w:pPr>
      <w:r w:rsidRPr="00597EAF">
        <w:rPr>
          <w:rFonts w:ascii="Arial" w:hAnsi="Arial" w:cs="Arial"/>
          <w:color w:val="004E98"/>
          <w:lang w:val="el-GR"/>
        </w:rPr>
        <w:t xml:space="preserve">     </w:t>
      </w:r>
      <w:r w:rsidRPr="00CF333C">
        <w:rPr>
          <w:rFonts w:ascii="Arial" w:hAnsi="Arial" w:cs="Arial"/>
          <w:color w:val="004E98"/>
        </w:rPr>
        <w:t>Social media KPMG in Greece</w:t>
      </w:r>
      <w:r w:rsidRPr="00CF333C">
        <w:rPr>
          <w:rFonts w:ascii="Arial" w:hAnsi="Arial" w:cs="Arial"/>
          <w:color w:val="004E98"/>
        </w:rPr>
        <w:tab/>
      </w:r>
    </w:p>
    <w:tbl>
      <w:tblPr>
        <w:tblW w:w="2811" w:type="dxa"/>
        <w:tblCellSpacing w:w="22" w:type="dxa"/>
        <w:tblInd w:w="426" w:type="dxa"/>
        <w:tblCellMar>
          <w:left w:w="0" w:type="dxa"/>
          <w:right w:w="0" w:type="dxa"/>
        </w:tblCellMar>
        <w:tblLook w:val="04A0" w:firstRow="1" w:lastRow="0" w:firstColumn="1" w:lastColumn="0" w:noHBand="0" w:noVBand="1"/>
      </w:tblPr>
      <w:tblGrid>
        <w:gridCol w:w="516"/>
        <w:gridCol w:w="891"/>
        <w:gridCol w:w="891"/>
        <w:gridCol w:w="913"/>
      </w:tblGrid>
      <w:tr w:rsidR="00E86775" w:rsidRPr="00CF333C" w14:paraId="520A54D6" w14:textId="77777777" w:rsidTr="008E697A">
        <w:trPr>
          <w:tblCellSpacing w:w="22" w:type="dxa"/>
        </w:trPr>
        <w:tc>
          <w:tcPr>
            <w:tcW w:w="50" w:type="dxa"/>
            <w:tcMar>
              <w:top w:w="15" w:type="dxa"/>
              <w:left w:w="15" w:type="dxa"/>
              <w:bottom w:w="15" w:type="dxa"/>
              <w:right w:w="15" w:type="dxa"/>
            </w:tcMar>
            <w:vAlign w:val="center"/>
            <w:hideMark/>
          </w:tcPr>
          <w:p w14:paraId="4E142E70" w14:textId="77777777" w:rsidR="00E86775" w:rsidRPr="00CF333C" w:rsidRDefault="00E86775" w:rsidP="008E697A">
            <w:pPr>
              <w:rPr>
                <w:rFonts w:ascii="Arial" w:hAnsi="Arial" w:cs="Arial"/>
              </w:rPr>
            </w:pPr>
            <w:r w:rsidRPr="00CF333C">
              <w:rPr>
                <w:rFonts w:ascii="Arial" w:hAnsi="Arial" w:cs="Arial"/>
                <w:noProof/>
                <w:color w:val="000000"/>
                <w:lang w:val="el-GR" w:eastAsia="el-GR"/>
              </w:rPr>
              <w:drawing>
                <wp:inline distT="0" distB="0" distL="0" distR="0" wp14:anchorId="5A5145FE" wp14:editId="7AF6F903">
                  <wp:extent cx="266700" cy="266700"/>
                  <wp:effectExtent l="0" t="0" r="0" b="0"/>
                  <wp:docPr id="9" name="Picture 9" descr="cid:image003.jpg@01D5B1AF.83317F7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B1AF.83317F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47" w:type="dxa"/>
            <w:hideMark/>
          </w:tcPr>
          <w:p w14:paraId="77464F3B" w14:textId="77777777" w:rsidR="00E86775" w:rsidRPr="00CF333C" w:rsidRDefault="00E86775" w:rsidP="008E697A">
            <w:pPr>
              <w:ind w:left="426"/>
              <w:rPr>
                <w:rFonts w:ascii="Arial" w:hAnsi="Arial" w:cs="Arial"/>
                <w:color w:val="000000"/>
                <w:lang w:eastAsia="en-IN"/>
              </w:rPr>
            </w:pPr>
            <w:r w:rsidRPr="00CF333C">
              <w:rPr>
                <w:rFonts w:ascii="Arial" w:hAnsi="Arial" w:cs="Arial"/>
                <w:noProof/>
                <w:color w:val="000000"/>
                <w:lang w:val="el-GR" w:eastAsia="el-GR"/>
              </w:rPr>
              <w:drawing>
                <wp:inline distT="0" distB="0" distL="0" distR="0" wp14:anchorId="6FBBDCD3" wp14:editId="15138ADC">
                  <wp:extent cx="266700" cy="266700"/>
                  <wp:effectExtent l="0" t="0" r="0" b="0"/>
                  <wp:docPr id="6" name="Picture 6" descr="cid:image004.jpg@01D5B1AF.83317F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5B1AF.83317F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47" w:type="dxa"/>
            <w:hideMark/>
          </w:tcPr>
          <w:p w14:paraId="5F5A94C0" w14:textId="77777777" w:rsidR="00E86775" w:rsidRPr="00CF333C" w:rsidRDefault="00E86775" w:rsidP="008E697A">
            <w:pPr>
              <w:ind w:left="426"/>
              <w:rPr>
                <w:rFonts w:ascii="Arial" w:hAnsi="Arial" w:cs="Arial"/>
                <w:color w:val="000000"/>
                <w:lang w:eastAsia="en-IN"/>
              </w:rPr>
            </w:pPr>
            <w:r w:rsidRPr="00CF333C">
              <w:rPr>
                <w:rFonts w:ascii="Arial" w:hAnsi="Arial" w:cs="Arial"/>
                <w:noProof/>
                <w:color w:val="000000"/>
                <w:lang w:val="el-GR" w:eastAsia="el-GR"/>
              </w:rPr>
              <w:drawing>
                <wp:inline distT="0" distB="0" distL="0" distR="0" wp14:anchorId="29C2C54F" wp14:editId="301821B2">
                  <wp:extent cx="266700" cy="266700"/>
                  <wp:effectExtent l="0" t="0" r="0" b="0"/>
                  <wp:docPr id="3" name="Picture 3" descr="cid:image005.jpg@01D5B1AF.83317F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5B1AF.83317F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47" w:type="dxa"/>
            <w:hideMark/>
          </w:tcPr>
          <w:p w14:paraId="31096F94" w14:textId="77777777" w:rsidR="00E86775" w:rsidRPr="00CF333C" w:rsidRDefault="00E86775" w:rsidP="008E697A">
            <w:pPr>
              <w:ind w:left="426"/>
              <w:rPr>
                <w:rFonts w:ascii="Arial" w:hAnsi="Arial" w:cs="Arial"/>
                <w:color w:val="000000"/>
                <w:lang w:eastAsia="en-IN"/>
              </w:rPr>
            </w:pPr>
            <w:r w:rsidRPr="00CF333C">
              <w:rPr>
                <w:rFonts w:ascii="Arial" w:hAnsi="Arial" w:cs="Arial"/>
                <w:noProof/>
                <w:color w:val="0563C1"/>
                <w:sz w:val="24"/>
                <w:szCs w:val="24"/>
                <w:lang w:val="el-GR" w:eastAsia="el-GR"/>
              </w:rPr>
              <w:drawing>
                <wp:inline distT="0" distB="0" distL="0" distR="0" wp14:anchorId="28D173C5" wp14:editId="065318B3">
                  <wp:extent cx="266700" cy="266700"/>
                  <wp:effectExtent l="0" t="0" r="0" b="0"/>
                  <wp:docPr id="2" name="Picture 2" descr="cid:image009.jpg@01D5C6EC.2627C620">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jpg@01D5C6EC.2627C6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039E95B" w14:textId="4388779F" w:rsidR="00A60327" w:rsidRPr="004552ED" w:rsidRDefault="00A60327" w:rsidP="004552ED">
      <w:pPr>
        <w:widowControl/>
        <w:tabs>
          <w:tab w:val="left" w:pos="426"/>
        </w:tabs>
        <w:spacing w:before="120"/>
        <w:ind w:right="43"/>
      </w:pPr>
    </w:p>
    <w:sectPr w:rsidR="00A60327" w:rsidRPr="004552ED" w:rsidSect="00920096">
      <w:footerReference w:type="default" r:id="rId27"/>
      <w:pgSz w:w="11910" w:h="16840" w:code="9"/>
      <w:pgMar w:top="1134" w:right="851" w:bottom="142" w:left="958" w:header="720" w:footer="544" w:gutter="0"/>
      <w:cols w:space="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ECBF" w14:textId="77777777" w:rsidR="00A43842" w:rsidRDefault="00A43842" w:rsidP="000012D6">
      <w:r>
        <w:separator/>
      </w:r>
    </w:p>
  </w:endnote>
  <w:endnote w:type="continuationSeparator" w:id="0">
    <w:p w14:paraId="6052127C" w14:textId="77777777" w:rsidR="00A43842" w:rsidRDefault="00A43842" w:rsidP="000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nivers 45 Light">
    <w:altName w:val="Calibri"/>
    <w:panose1 w:val="00000000000000000000"/>
    <w:charset w:val="00"/>
    <w:family w:val="auto"/>
    <w:pitch w:val="variable"/>
    <w:sig w:usb0="8000002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KPMG Greek Bold">
    <w:panose1 w:val="020B0803030202040204"/>
    <w:charset w:val="A1"/>
    <w:family w:val="swiss"/>
    <w:pitch w:val="variable"/>
    <w:sig w:usb0="00000287" w:usb1="00000000" w:usb2="00000000" w:usb3="00000000" w:csb0="0000009F" w:csb1="00000000"/>
  </w:font>
  <w:font w:name="KPMG Extralight">
    <w:panose1 w:val="020B030303020204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119D" w14:textId="623D54D9" w:rsidR="00920096" w:rsidRDefault="00920096" w:rsidP="002D04E3">
    <w:pPr>
      <w:pStyle w:val="Footer"/>
      <w:ind w:left="709"/>
      <w:rPr>
        <w:rFonts w:ascii="Arial" w:hAnsi="Arial" w:cs="Arial"/>
        <w:sz w:val="12"/>
        <w:lang w:val="el-GR"/>
      </w:rPr>
    </w:pPr>
    <w:r w:rsidRPr="008028F0">
      <w:rPr>
        <w:rFonts w:ascii="Arial" w:hAnsi="Arial" w:cs="Arial"/>
        <w:sz w:val="12"/>
        <w:lang w:val="el-GR"/>
      </w:rPr>
      <w:t>© 202</w:t>
    </w:r>
    <w:r w:rsidR="00462192">
      <w:rPr>
        <w:rFonts w:ascii="Arial" w:hAnsi="Arial" w:cs="Arial"/>
        <w:sz w:val="12"/>
        <w:lang w:val="el-GR"/>
      </w:rPr>
      <w:t>4</w:t>
    </w:r>
    <w:r w:rsidRPr="008028F0">
      <w:rPr>
        <w:rFonts w:ascii="Arial" w:hAnsi="Arial" w:cs="Arial"/>
        <w:sz w:val="12"/>
        <w:lang w:val="el-GR"/>
      </w:rPr>
      <w:t xml:space="preserve"> </w:t>
    </w:r>
    <w:r w:rsidRPr="009E7DE7">
      <w:rPr>
        <w:rFonts w:ascii="Arial" w:hAnsi="Arial" w:cs="Arial"/>
        <w:sz w:val="12"/>
        <w:lang w:val="el-GR"/>
      </w:rPr>
      <w:t>KPMG Σύμβουλοι Μονοπρόσωπη Α.Ε.</w:t>
    </w:r>
    <w:r w:rsidRPr="008028F0">
      <w:rPr>
        <w:rFonts w:ascii="Arial" w:hAnsi="Arial" w:cs="Arial"/>
        <w:sz w:val="12"/>
        <w:lang w:val="el-GR"/>
      </w:rPr>
      <w:t>.,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r w:rsidRPr="0059600F">
      <w:rPr>
        <w:rFonts w:ascii="Arial" w:hAnsi="Arial" w:cs="Arial"/>
        <w:sz w:val="12"/>
        <w:lang w:val="el-GR"/>
      </w:rPr>
      <w:tab/>
    </w:r>
  </w:p>
  <w:p w14:paraId="534686FB" w14:textId="77777777" w:rsidR="00920096" w:rsidRDefault="00920096" w:rsidP="002D04E3">
    <w:pPr>
      <w:pStyle w:val="Footer"/>
      <w:ind w:left="709"/>
      <w:rPr>
        <w:rFonts w:ascii="Arial" w:hAnsi="Arial" w:cs="Arial"/>
        <w:sz w:val="12"/>
        <w:lang w:val="el-GR"/>
      </w:rPr>
    </w:pPr>
  </w:p>
  <w:p w14:paraId="55982E52" w14:textId="17F85C2B" w:rsidR="00920096" w:rsidRPr="00920096" w:rsidRDefault="00920096" w:rsidP="002D04E3">
    <w:pPr>
      <w:pStyle w:val="Footer"/>
      <w:rPr>
        <w:rFonts w:ascii="Arial" w:hAnsi="Arial" w:cs="Arial"/>
        <w:sz w:val="12"/>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8065" w14:textId="77777777" w:rsidR="00A43842" w:rsidRDefault="00A43842" w:rsidP="000012D6">
      <w:r>
        <w:separator/>
      </w:r>
    </w:p>
  </w:footnote>
  <w:footnote w:type="continuationSeparator" w:id="0">
    <w:p w14:paraId="4B96FEE0" w14:textId="77777777" w:rsidR="00A43842" w:rsidRDefault="00A43842" w:rsidP="0000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1C5D86"/>
    <w:lvl w:ilvl="0">
      <w:start w:val="1"/>
      <w:numFmt w:val="bullet"/>
      <w:pStyle w:val="ListBullet"/>
      <w:lvlText w:val="—"/>
      <w:lvlJc w:val="left"/>
      <w:pPr>
        <w:tabs>
          <w:tab w:val="num" w:pos="6720"/>
        </w:tabs>
        <w:ind w:left="6720" w:hanging="340"/>
      </w:pPr>
      <w:rPr>
        <w:rFonts w:ascii="Arial" w:hAnsi="Arial" w:cs="Arial" w:hint="default"/>
        <w:color w:val="auto"/>
        <w:sz w:val="24"/>
      </w:rPr>
    </w:lvl>
  </w:abstractNum>
  <w:abstractNum w:abstractNumId="1" w15:restartNumberingAfterBreak="0">
    <w:nsid w:val="14203DB9"/>
    <w:multiLevelType w:val="singleLevel"/>
    <w:tmpl w:val="FB3271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17B955FE"/>
    <w:multiLevelType w:val="singleLevel"/>
    <w:tmpl w:val="E03CD8F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21A26FED"/>
    <w:multiLevelType w:val="singleLevel"/>
    <w:tmpl w:val="DEE6A7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2C0577CF"/>
    <w:multiLevelType w:val="hybridMultilevel"/>
    <w:tmpl w:val="32A8D05C"/>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 w15:restartNumberingAfterBreak="0">
    <w:nsid w:val="2FD94341"/>
    <w:multiLevelType w:val="hybridMultilevel"/>
    <w:tmpl w:val="B77471E8"/>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 w15:restartNumberingAfterBreak="0">
    <w:nsid w:val="380F5225"/>
    <w:multiLevelType w:val="hybridMultilevel"/>
    <w:tmpl w:val="218694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2F15A7"/>
    <w:multiLevelType w:val="hybridMultilevel"/>
    <w:tmpl w:val="F2843B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6E2F38"/>
    <w:multiLevelType w:val="multilevel"/>
    <w:tmpl w:val="8CB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977C9"/>
    <w:multiLevelType w:val="singleLevel"/>
    <w:tmpl w:val="25FA63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699E13DD"/>
    <w:multiLevelType w:val="singleLevel"/>
    <w:tmpl w:val="3CAE68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6DC206FF"/>
    <w:multiLevelType w:val="multilevel"/>
    <w:tmpl w:val="33B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92A2F"/>
    <w:multiLevelType w:val="singleLevel"/>
    <w:tmpl w:val="8E889C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70E7275E"/>
    <w:multiLevelType w:val="singleLevel"/>
    <w:tmpl w:val="857210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78C31D8E"/>
    <w:multiLevelType w:val="hybridMultilevel"/>
    <w:tmpl w:val="F5E4C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F51921"/>
    <w:multiLevelType w:val="singleLevel"/>
    <w:tmpl w:val="E8688294"/>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452483350">
    <w:abstractNumId w:val="0"/>
  </w:num>
  <w:num w:numId="2" w16cid:durableId="466975488">
    <w:abstractNumId w:val="2"/>
  </w:num>
  <w:num w:numId="3" w16cid:durableId="1530608374">
    <w:abstractNumId w:val="12"/>
  </w:num>
  <w:num w:numId="4" w16cid:durableId="889927070">
    <w:abstractNumId w:val="9"/>
  </w:num>
  <w:num w:numId="5" w16cid:durableId="34818716">
    <w:abstractNumId w:val="10"/>
  </w:num>
  <w:num w:numId="6" w16cid:durableId="1037046173">
    <w:abstractNumId w:val="15"/>
  </w:num>
  <w:num w:numId="7" w16cid:durableId="1931160653">
    <w:abstractNumId w:val="8"/>
  </w:num>
  <w:num w:numId="8" w16cid:durableId="933364492">
    <w:abstractNumId w:val="1"/>
  </w:num>
  <w:num w:numId="9" w16cid:durableId="769159440">
    <w:abstractNumId w:val="5"/>
  </w:num>
  <w:num w:numId="10" w16cid:durableId="24916522">
    <w:abstractNumId w:val="3"/>
  </w:num>
  <w:num w:numId="11" w16cid:durableId="1544246574">
    <w:abstractNumId w:val="4"/>
  </w:num>
  <w:num w:numId="12" w16cid:durableId="1809782554">
    <w:abstractNumId w:val="13"/>
  </w:num>
  <w:num w:numId="13" w16cid:durableId="959337419">
    <w:abstractNumId w:val="14"/>
  </w:num>
  <w:num w:numId="14" w16cid:durableId="305551890">
    <w:abstractNumId w:val="11"/>
  </w:num>
  <w:num w:numId="15" w16cid:durableId="1742215221">
    <w:abstractNumId w:val="6"/>
  </w:num>
  <w:num w:numId="16" w16cid:durableId="1688022027">
    <w:abstractNumId w:val="7"/>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27"/>
    <w:rsid w:val="000012D6"/>
    <w:rsid w:val="00004E3A"/>
    <w:rsid w:val="00011E1B"/>
    <w:rsid w:val="00012117"/>
    <w:rsid w:val="000125E3"/>
    <w:rsid w:val="00015693"/>
    <w:rsid w:val="00016060"/>
    <w:rsid w:val="00021C79"/>
    <w:rsid w:val="00023C14"/>
    <w:rsid w:val="000249D8"/>
    <w:rsid w:val="000301CB"/>
    <w:rsid w:val="0003022F"/>
    <w:rsid w:val="00031B2E"/>
    <w:rsid w:val="00034E83"/>
    <w:rsid w:val="00036544"/>
    <w:rsid w:val="00036F30"/>
    <w:rsid w:val="000374CD"/>
    <w:rsid w:val="00045822"/>
    <w:rsid w:val="0006181F"/>
    <w:rsid w:val="00065CE9"/>
    <w:rsid w:val="00070873"/>
    <w:rsid w:val="00070E98"/>
    <w:rsid w:val="000711A8"/>
    <w:rsid w:val="000729EA"/>
    <w:rsid w:val="00074110"/>
    <w:rsid w:val="00077152"/>
    <w:rsid w:val="000778F2"/>
    <w:rsid w:val="00080E23"/>
    <w:rsid w:val="000812A5"/>
    <w:rsid w:val="000831E3"/>
    <w:rsid w:val="000848B5"/>
    <w:rsid w:val="00084A3F"/>
    <w:rsid w:val="00090444"/>
    <w:rsid w:val="0009126D"/>
    <w:rsid w:val="00091FAB"/>
    <w:rsid w:val="00094A69"/>
    <w:rsid w:val="000A7688"/>
    <w:rsid w:val="000A7AAA"/>
    <w:rsid w:val="000B28B0"/>
    <w:rsid w:val="000B33DA"/>
    <w:rsid w:val="000B3F38"/>
    <w:rsid w:val="000B57D9"/>
    <w:rsid w:val="000B58F8"/>
    <w:rsid w:val="000B67DA"/>
    <w:rsid w:val="000C0F2B"/>
    <w:rsid w:val="000C2154"/>
    <w:rsid w:val="000C79E6"/>
    <w:rsid w:val="000D0E06"/>
    <w:rsid w:val="000D4732"/>
    <w:rsid w:val="000E10C6"/>
    <w:rsid w:val="000E4EDD"/>
    <w:rsid w:val="000E7ADB"/>
    <w:rsid w:val="000F7244"/>
    <w:rsid w:val="000F79E8"/>
    <w:rsid w:val="00100EF7"/>
    <w:rsid w:val="00105EC3"/>
    <w:rsid w:val="001100D4"/>
    <w:rsid w:val="00110F3B"/>
    <w:rsid w:val="00113CF9"/>
    <w:rsid w:val="00122EBC"/>
    <w:rsid w:val="001243E9"/>
    <w:rsid w:val="00133229"/>
    <w:rsid w:val="0013334E"/>
    <w:rsid w:val="00136FAB"/>
    <w:rsid w:val="00142FF5"/>
    <w:rsid w:val="00143C87"/>
    <w:rsid w:val="00143FCE"/>
    <w:rsid w:val="00144BBA"/>
    <w:rsid w:val="00145D02"/>
    <w:rsid w:val="0015109E"/>
    <w:rsid w:val="00153D15"/>
    <w:rsid w:val="00155C59"/>
    <w:rsid w:val="0016240D"/>
    <w:rsid w:val="00162B4E"/>
    <w:rsid w:val="00162C2F"/>
    <w:rsid w:val="00163FD4"/>
    <w:rsid w:val="0017006C"/>
    <w:rsid w:val="001724A8"/>
    <w:rsid w:val="00181ADE"/>
    <w:rsid w:val="00181C06"/>
    <w:rsid w:val="0018203A"/>
    <w:rsid w:val="001840B0"/>
    <w:rsid w:val="00194657"/>
    <w:rsid w:val="00194A0F"/>
    <w:rsid w:val="001A19A6"/>
    <w:rsid w:val="001A24F4"/>
    <w:rsid w:val="001A3CA6"/>
    <w:rsid w:val="001B01C3"/>
    <w:rsid w:val="001B67BC"/>
    <w:rsid w:val="001C1AA4"/>
    <w:rsid w:val="001C7B0F"/>
    <w:rsid w:val="001D1FDB"/>
    <w:rsid w:val="001D50C1"/>
    <w:rsid w:val="001D6C1B"/>
    <w:rsid w:val="001E12C3"/>
    <w:rsid w:val="001E2744"/>
    <w:rsid w:val="001E35AE"/>
    <w:rsid w:val="001E7090"/>
    <w:rsid w:val="001F0D6D"/>
    <w:rsid w:val="001F4ADE"/>
    <w:rsid w:val="001F4E46"/>
    <w:rsid w:val="00200872"/>
    <w:rsid w:val="00203187"/>
    <w:rsid w:val="002042F6"/>
    <w:rsid w:val="00212249"/>
    <w:rsid w:val="0022138A"/>
    <w:rsid w:val="00227D2E"/>
    <w:rsid w:val="00230C49"/>
    <w:rsid w:val="00235CC6"/>
    <w:rsid w:val="00236BBD"/>
    <w:rsid w:val="002407E9"/>
    <w:rsid w:val="0024396E"/>
    <w:rsid w:val="0024516F"/>
    <w:rsid w:val="0024775A"/>
    <w:rsid w:val="002533AF"/>
    <w:rsid w:val="00255B25"/>
    <w:rsid w:val="00264F7B"/>
    <w:rsid w:val="002676BE"/>
    <w:rsid w:val="0027292A"/>
    <w:rsid w:val="00280B45"/>
    <w:rsid w:val="00286BFD"/>
    <w:rsid w:val="00293C26"/>
    <w:rsid w:val="002A1F45"/>
    <w:rsid w:val="002A2D3D"/>
    <w:rsid w:val="002A302A"/>
    <w:rsid w:val="002A3692"/>
    <w:rsid w:val="002A7A7D"/>
    <w:rsid w:val="002C1586"/>
    <w:rsid w:val="002C4048"/>
    <w:rsid w:val="002C49DB"/>
    <w:rsid w:val="002C74E6"/>
    <w:rsid w:val="002D04E3"/>
    <w:rsid w:val="002D24F0"/>
    <w:rsid w:val="002D5F38"/>
    <w:rsid w:val="002D7B9F"/>
    <w:rsid w:val="002E0D08"/>
    <w:rsid w:val="002E16E3"/>
    <w:rsid w:val="002E76BD"/>
    <w:rsid w:val="002F0883"/>
    <w:rsid w:val="002F66B3"/>
    <w:rsid w:val="003000F2"/>
    <w:rsid w:val="00305363"/>
    <w:rsid w:val="00307E6E"/>
    <w:rsid w:val="00307E90"/>
    <w:rsid w:val="00312911"/>
    <w:rsid w:val="00315488"/>
    <w:rsid w:val="00315AB7"/>
    <w:rsid w:val="00316CE5"/>
    <w:rsid w:val="00317892"/>
    <w:rsid w:val="0032111A"/>
    <w:rsid w:val="00322597"/>
    <w:rsid w:val="003262F6"/>
    <w:rsid w:val="003274DF"/>
    <w:rsid w:val="00353E03"/>
    <w:rsid w:val="0036063C"/>
    <w:rsid w:val="003606EA"/>
    <w:rsid w:val="0036162B"/>
    <w:rsid w:val="00362F74"/>
    <w:rsid w:val="003675A5"/>
    <w:rsid w:val="003709FE"/>
    <w:rsid w:val="00374095"/>
    <w:rsid w:val="00383B14"/>
    <w:rsid w:val="00384DD9"/>
    <w:rsid w:val="00386120"/>
    <w:rsid w:val="0039006C"/>
    <w:rsid w:val="00392E26"/>
    <w:rsid w:val="00393765"/>
    <w:rsid w:val="003952C6"/>
    <w:rsid w:val="00395B90"/>
    <w:rsid w:val="00395BEB"/>
    <w:rsid w:val="003A182F"/>
    <w:rsid w:val="003A1B18"/>
    <w:rsid w:val="003A5D7E"/>
    <w:rsid w:val="003B37F9"/>
    <w:rsid w:val="003B401C"/>
    <w:rsid w:val="003B5798"/>
    <w:rsid w:val="003B6C2B"/>
    <w:rsid w:val="003C1AEF"/>
    <w:rsid w:val="003C2554"/>
    <w:rsid w:val="003C48C1"/>
    <w:rsid w:val="003C54F8"/>
    <w:rsid w:val="003C7AD1"/>
    <w:rsid w:val="003D10E6"/>
    <w:rsid w:val="003D1C9C"/>
    <w:rsid w:val="003D32E0"/>
    <w:rsid w:val="003D5760"/>
    <w:rsid w:val="003E0B4E"/>
    <w:rsid w:val="003E3463"/>
    <w:rsid w:val="003E45DA"/>
    <w:rsid w:val="003E6F80"/>
    <w:rsid w:val="003E7080"/>
    <w:rsid w:val="003F043B"/>
    <w:rsid w:val="003F1EB2"/>
    <w:rsid w:val="003F6E88"/>
    <w:rsid w:val="004009A6"/>
    <w:rsid w:val="00402BE7"/>
    <w:rsid w:val="004047FC"/>
    <w:rsid w:val="00406439"/>
    <w:rsid w:val="00411747"/>
    <w:rsid w:val="00412B9C"/>
    <w:rsid w:val="00420932"/>
    <w:rsid w:val="00420D7C"/>
    <w:rsid w:val="00424A6D"/>
    <w:rsid w:val="00424F1A"/>
    <w:rsid w:val="00425DE7"/>
    <w:rsid w:val="004263E3"/>
    <w:rsid w:val="00430AC1"/>
    <w:rsid w:val="00431EFB"/>
    <w:rsid w:val="00431FF2"/>
    <w:rsid w:val="00432ADF"/>
    <w:rsid w:val="004424C9"/>
    <w:rsid w:val="0045207B"/>
    <w:rsid w:val="00453236"/>
    <w:rsid w:val="0045523F"/>
    <w:rsid w:val="004552ED"/>
    <w:rsid w:val="004603B4"/>
    <w:rsid w:val="00460725"/>
    <w:rsid w:val="00461BE2"/>
    <w:rsid w:val="00462192"/>
    <w:rsid w:val="00462364"/>
    <w:rsid w:val="00470CD1"/>
    <w:rsid w:val="00470FD9"/>
    <w:rsid w:val="004775BB"/>
    <w:rsid w:val="00482F97"/>
    <w:rsid w:val="00484240"/>
    <w:rsid w:val="00484B7D"/>
    <w:rsid w:val="004866F8"/>
    <w:rsid w:val="00490559"/>
    <w:rsid w:val="00493CA5"/>
    <w:rsid w:val="00496540"/>
    <w:rsid w:val="004A1256"/>
    <w:rsid w:val="004A1E0C"/>
    <w:rsid w:val="004A43C0"/>
    <w:rsid w:val="004A76A8"/>
    <w:rsid w:val="004B0F21"/>
    <w:rsid w:val="004B2636"/>
    <w:rsid w:val="004B3AE7"/>
    <w:rsid w:val="004C1D5E"/>
    <w:rsid w:val="004C2ADC"/>
    <w:rsid w:val="004D26E0"/>
    <w:rsid w:val="004D3426"/>
    <w:rsid w:val="004D65B1"/>
    <w:rsid w:val="004E3415"/>
    <w:rsid w:val="004E3440"/>
    <w:rsid w:val="004E3815"/>
    <w:rsid w:val="004E488C"/>
    <w:rsid w:val="004E5FFC"/>
    <w:rsid w:val="004E7B4C"/>
    <w:rsid w:val="004F1708"/>
    <w:rsid w:val="004F1F7E"/>
    <w:rsid w:val="004F2F9D"/>
    <w:rsid w:val="004F55AB"/>
    <w:rsid w:val="004F6774"/>
    <w:rsid w:val="005129A8"/>
    <w:rsid w:val="00514A2E"/>
    <w:rsid w:val="00515091"/>
    <w:rsid w:val="00521B75"/>
    <w:rsid w:val="00530407"/>
    <w:rsid w:val="00531FB6"/>
    <w:rsid w:val="0053378A"/>
    <w:rsid w:val="00537A3C"/>
    <w:rsid w:val="0054134A"/>
    <w:rsid w:val="00541A5E"/>
    <w:rsid w:val="00546327"/>
    <w:rsid w:val="00547071"/>
    <w:rsid w:val="00551142"/>
    <w:rsid w:val="00556FAF"/>
    <w:rsid w:val="005627A3"/>
    <w:rsid w:val="0056376C"/>
    <w:rsid w:val="00563FBB"/>
    <w:rsid w:val="0056602C"/>
    <w:rsid w:val="00566918"/>
    <w:rsid w:val="00571DE3"/>
    <w:rsid w:val="0057423A"/>
    <w:rsid w:val="00574E40"/>
    <w:rsid w:val="0058195C"/>
    <w:rsid w:val="00584FD0"/>
    <w:rsid w:val="00585F72"/>
    <w:rsid w:val="00590368"/>
    <w:rsid w:val="00592B1D"/>
    <w:rsid w:val="00597C34"/>
    <w:rsid w:val="00597EAF"/>
    <w:rsid w:val="005A2323"/>
    <w:rsid w:val="005A59B0"/>
    <w:rsid w:val="005A6B6C"/>
    <w:rsid w:val="005A7C39"/>
    <w:rsid w:val="005B2874"/>
    <w:rsid w:val="005B54CD"/>
    <w:rsid w:val="005B65A4"/>
    <w:rsid w:val="005C227E"/>
    <w:rsid w:val="005D1980"/>
    <w:rsid w:val="005D1E94"/>
    <w:rsid w:val="005E73E2"/>
    <w:rsid w:val="005E7942"/>
    <w:rsid w:val="005F2635"/>
    <w:rsid w:val="00601356"/>
    <w:rsid w:val="006030DC"/>
    <w:rsid w:val="00605464"/>
    <w:rsid w:val="0060657F"/>
    <w:rsid w:val="00617BCE"/>
    <w:rsid w:val="00621603"/>
    <w:rsid w:val="00621ABB"/>
    <w:rsid w:val="00631EB8"/>
    <w:rsid w:val="006351E7"/>
    <w:rsid w:val="006352E6"/>
    <w:rsid w:val="00636B4D"/>
    <w:rsid w:val="00641E7D"/>
    <w:rsid w:val="006516DF"/>
    <w:rsid w:val="00652748"/>
    <w:rsid w:val="006529CB"/>
    <w:rsid w:val="006531B4"/>
    <w:rsid w:val="00655491"/>
    <w:rsid w:val="0065562A"/>
    <w:rsid w:val="006579D4"/>
    <w:rsid w:val="00661453"/>
    <w:rsid w:val="00661A1D"/>
    <w:rsid w:val="006632FD"/>
    <w:rsid w:val="006641F2"/>
    <w:rsid w:val="00666041"/>
    <w:rsid w:val="0068086C"/>
    <w:rsid w:val="0068135B"/>
    <w:rsid w:val="00684F90"/>
    <w:rsid w:val="00685DE2"/>
    <w:rsid w:val="00696A7D"/>
    <w:rsid w:val="006975C3"/>
    <w:rsid w:val="006A77EE"/>
    <w:rsid w:val="006A7A96"/>
    <w:rsid w:val="006C31C8"/>
    <w:rsid w:val="006C5495"/>
    <w:rsid w:val="006E1463"/>
    <w:rsid w:val="006F1AB6"/>
    <w:rsid w:val="006F279A"/>
    <w:rsid w:val="006F4249"/>
    <w:rsid w:val="006F69B0"/>
    <w:rsid w:val="006F7142"/>
    <w:rsid w:val="0070010E"/>
    <w:rsid w:val="00706839"/>
    <w:rsid w:val="007077D6"/>
    <w:rsid w:val="007118D4"/>
    <w:rsid w:val="00715455"/>
    <w:rsid w:val="007159AB"/>
    <w:rsid w:val="007159E2"/>
    <w:rsid w:val="00717DDF"/>
    <w:rsid w:val="007206CA"/>
    <w:rsid w:val="00723807"/>
    <w:rsid w:val="00724AB7"/>
    <w:rsid w:val="00726EB4"/>
    <w:rsid w:val="00727BC3"/>
    <w:rsid w:val="00736B70"/>
    <w:rsid w:val="00741D25"/>
    <w:rsid w:val="0075005E"/>
    <w:rsid w:val="00751FE0"/>
    <w:rsid w:val="0075489B"/>
    <w:rsid w:val="00756E55"/>
    <w:rsid w:val="00760C2A"/>
    <w:rsid w:val="007648E5"/>
    <w:rsid w:val="00764E3A"/>
    <w:rsid w:val="0077266F"/>
    <w:rsid w:val="00783256"/>
    <w:rsid w:val="00784D1D"/>
    <w:rsid w:val="00785CFC"/>
    <w:rsid w:val="00786141"/>
    <w:rsid w:val="007865C2"/>
    <w:rsid w:val="00791140"/>
    <w:rsid w:val="007911CC"/>
    <w:rsid w:val="00797D29"/>
    <w:rsid w:val="007A69FB"/>
    <w:rsid w:val="007C4787"/>
    <w:rsid w:val="007C6F6A"/>
    <w:rsid w:val="007D03D7"/>
    <w:rsid w:val="007D6874"/>
    <w:rsid w:val="007E3C24"/>
    <w:rsid w:val="007E77EE"/>
    <w:rsid w:val="007F06F5"/>
    <w:rsid w:val="007F2156"/>
    <w:rsid w:val="007F3C50"/>
    <w:rsid w:val="00803621"/>
    <w:rsid w:val="00805642"/>
    <w:rsid w:val="00810B72"/>
    <w:rsid w:val="00816691"/>
    <w:rsid w:val="008218F0"/>
    <w:rsid w:val="00830403"/>
    <w:rsid w:val="008314A4"/>
    <w:rsid w:val="00831B87"/>
    <w:rsid w:val="008322EE"/>
    <w:rsid w:val="0083381D"/>
    <w:rsid w:val="008359C8"/>
    <w:rsid w:val="00837002"/>
    <w:rsid w:val="0083780D"/>
    <w:rsid w:val="0084146D"/>
    <w:rsid w:val="00846042"/>
    <w:rsid w:val="008507F7"/>
    <w:rsid w:val="00855617"/>
    <w:rsid w:val="00857E2D"/>
    <w:rsid w:val="00860602"/>
    <w:rsid w:val="00860756"/>
    <w:rsid w:val="00861101"/>
    <w:rsid w:val="00864ED3"/>
    <w:rsid w:val="008704EB"/>
    <w:rsid w:val="00870E87"/>
    <w:rsid w:val="00871A58"/>
    <w:rsid w:val="00874266"/>
    <w:rsid w:val="008746C2"/>
    <w:rsid w:val="00877F47"/>
    <w:rsid w:val="00880C6C"/>
    <w:rsid w:val="00884E86"/>
    <w:rsid w:val="00885DA9"/>
    <w:rsid w:val="00890FA9"/>
    <w:rsid w:val="008910E5"/>
    <w:rsid w:val="00893015"/>
    <w:rsid w:val="00896748"/>
    <w:rsid w:val="00896A0E"/>
    <w:rsid w:val="008A0815"/>
    <w:rsid w:val="008A0E68"/>
    <w:rsid w:val="008A69D2"/>
    <w:rsid w:val="008A6ECB"/>
    <w:rsid w:val="008B03B3"/>
    <w:rsid w:val="008B71F8"/>
    <w:rsid w:val="008C400A"/>
    <w:rsid w:val="008C6856"/>
    <w:rsid w:val="008D0509"/>
    <w:rsid w:val="008D3F98"/>
    <w:rsid w:val="008D49E4"/>
    <w:rsid w:val="008D6262"/>
    <w:rsid w:val="008E0533"/>
    <w:rsid w:val="008E1F12"/>
    <w:rsid w:val="008E1F4D"/>
    <w:rsid w:val="008E312E"/>
    <w:rsid w:val="008E6D9A"/>
    <w:rsid w:val="008F1CDD"/>
    <w:rsid w:val="008F4F86"/>
    <w:rsid w:val="00901966"/>
    <w:rsid w:val="00920096"/>
    <w:rsid w:val="009208E6"/>
    <w:rsid w:val="00926AEA"/>
    <w:rsid w:val="00926E84"/>
    <w:rsid w:val="00944289"/>
    <w:rsid w:val="00944DE8"/>
    <w:rsid w:val="0096059E"/>
    <w:rsid w:val="009639A8"/>
    <w:rsid w:val="009673CE"/>
    <w:rsid w:val="00970373"/>
    <w:rsid w:val="009744D0"/>
    <w:rsid w:val="00974E32"/>
    <w:rsid w:val="00975716"/>
    <w:rsid w:val="00980FB9"/>
    <w:rsid w:val="00984C69"/>
    <w:rsid w:val="009862CA"/>
    <w:rsid w:val="009A23AE"/>
    <w:rsid w:val="009A39FE"/>
    <w:rsid w:val="009B1D7A"/>
    <w:rsid w:val="009B20BD"/>
    <w:rsid w:val="009B29DE"/>
    <w:rsid w:val="009B2F87"/>
    <w:rsid w:val="009C3661"/>
    <w:rsid w:val="009C7DC4"/>
    <w:rsid w:val="009D16D3"/>
    <w:rsid w:val="009D1BA4"/>
    <w:rsid w:val="009D273C"/>
    <w:rsid w:val="009D73D2"/>
    <w:rsid w:val="009E02EC"/>
    <w:rsid w:val="009E4266"/>
    <w:rsid w:val="009E55EF"/>
    <w:rsid w:val="009E57F2"/>
    <w:rsid w:val="009E6A7F"/>
    <w:rsid w:val="009E6C53"/>
    <w:rsid w:val="009E7DE7"/>
    <w:rsid w:val="009F1FC6"/>
    <w:rsid w:val="009F5026"/>
    <w:rsid w:val="00A05F29"/>
    <w:rsid w:val="00A062BA"/>
    <w:rsid w:val="00A067EF"/>
    <w:rsid w:val="00A1368C"/>
    <w:rsid w:val="00A148F1"/>
    <w:rsid w:val="00A153B1"/>
    <w:rsid w:val="00A16265"/>
    <w:rsid w:val="00A255BD"/>
    <w:rsid w:val="00A25CC2"/>
    <w:rsid w:val="00A34B5F"/>
    <w:rsid w:val="00A40CF1"/>
    <w:rsid w:val="00A4225E"/>
    <w:rsid w:val="00A42D27"/>
    <w:rsid w:val="00A43842"/>
    <w:rsid w:val="00A460B7"/>
    <w:rsid w:val="00A47BDF"/>
    <w:rsid w:val="00A559F6"/>
    <w:rsid w:val="00A56383"/>
    <w:rsid w:val="00A5646A"/>
    <w:rsid w:val="00A60327"/>
    <w:rsid w:val="00A61175"/>
    <w:rsid w:val="00A62DBB"/>
    <w:rsid w:val="00A65BEE"/>
    <w:rsid w:val="00A73C98"/>
    <w:rsid w:val="00A76B0E"/>
    <w:rsid w:val="00A8412B"/>
    <w:rsid w:val="00A92ECE"/>
    <w:rsid w:val="00AB2949"/>
    <w:rsid w:val="00AB3B22"/>
    <w:rsid w:val="00AB5005"/>
    <w:rsid w:val="00AB7134"/>
    <w:rsid w:val="00AB7189"/>
    <w:rsid w:val="00AB7C40"/>
    <w:rsid w:val="00AC0459"/>
    <w:rsid w:val="00AC18AD"/>
    <w:rsid w:val="00AC3094"/>
    <w:rsid w:val="00AC38B9"/>
    <w:rsid w:val="00AC45AB"/>
    <w:rsid w:val="00AC6470"/>
    <w:rsid w:val="00AC68FD"/>
    <w:rsid w:val="00AD2EDE"/>
    <w:rsid w:val="00AD2F13"/>
    <w:rsid w:val="00AD4C0D"/>
    <w:rsid w:val="00AE11FA"/>
    <w:rsid w:val="00AE29A3"/>
    <w:rsid w:val="00AE63EC"/>
    <w:rsid w:val="00AF089E"/>
    <w:rsid w:val="00AF12AC"/>
    <w:rsid w:val="00AF1BB2"/>
    <w:rsid w:val="00AF7CBA"/>
    <w:rsid w:val="00B0351F"/>
    <w:rsid w:val="00B071DD"/>
    <w:rsid w:val="00B15BEF"/>
    <w:rsid w:val="00B16937"/>
    <w:rsid w:val="00B17F13"/>
    <w:rsid w:val="00B26738"/>
    <w:rsid w:val="00B32728"/>
    <w:rsid w:val="00B3354A"/>
    <w:rsid w:val="00B33768"/>
    <w:rsid w:val="00B33B75"/>
    <w:rsid w:val="00B34AA6"/>
    <w:rsid w:val="00B34E62"/>
    <w:rsid w:val="00B368A9"/>
    <w:rsid w:val="00B36FB0"/>
    <w:rsid w:val="00B415FA"/>
    <w:rsid w:val="00B42351"/>
    <w:rsid w:val="00B42710"/>
    <w:rsid w:val="00B436EB"/>
    <w:rsid w:val="00B45A48"/>
    <w:rsid w:val="00B52D14"/>
    <w:rsid w:val="00B53055"/>
    <w:rsid w:val="00B54D97"/>
    <w:rsid w:val="00B64556"/>
    <w:rsid w:val="00B67B35"/>
    <w:rsid w:val="00B73BEB"/>
    <w:rsid w:val="00B74214"/>
    <w:rsid w:val="00B76227"/>
    <w:rsid w:val="00B80522"/>
    <w:rsid w:val="00B864CE"/>
    <w:rsid w:val="00B90D11"/>
    <w:rsid w:val="00B91AEA"/>
    <w:rsid w:val="00B9638A"/>
    <w:rsid w:val="00B97276"/>
    <w:rsid w:val="00BA14C0"/>
    <w:rsid w:val="00BA5CAE"/>
    <w:rsid w:val="00BB7ED0"/>
    <w:rsid w:val="00BC10B8"/>
    <w:rsid w:val="00BC2EB8"/>
    <w:rsid w:val="00BC49E0"/>
    <w:rsid w:val="00BD162C"/>
    <w:rsid w:val="00BD4EAD"/>
    <w:rsid w:val="00BD63B7"/>
    <w:rsid w:val="00BE0145"/>
    <w:rsid w:val="00BE1A9F"/>
    <w:rsid w:val="00BE4F26"/>
    <w:rsid w:val="00BE6BF4"/>
    <w:rsid w:val="00BE78E9"/>
    <w:rsid w:val="00BF74D3"/>
    <w:rsid w:val="00BF7528"/>
    <w:rsid w:val="00BF7628"/>
    <w:rsid w:val="00BF76CD"/>
    <w:rsid w:val="00C16B5D"/>
    <w:rsid w:val="00C17D2B"/>
    <w:rsid w:val="00C2128F"/>
    <w:rsid w:val="00C22246"/>
    <w:rsid w:val="00C260E5"/>
    <w:rsid w:val="00C26845"/>
    <w:rsid w:val="00C34754"/>
    <w:rsid w:val="00C36C95"/>
    <w:rsid w:val="00C414B0"/>
    <w:rsid w:val="00C42D1A"/>
    <w:rsid w:val="00C439E2"/>
    <w:rsid w:val="00C45EDC"/>
    <w:rsid w:val="00C5268B"/>
    <w:rsid w:val="00C531D0"/>
    <w:rsid w:val="00C54572"/>
    <w:rsid w:val="00C65ECF"/>
    <w:rsid w:val="00C76A45"/>
    <w:rsid w:val="00C80987"/>
    <w:rsid w:val="00C8175A"/>
    <w:rsid w:val="00C83AD4"/>
    <w:rsid w:val="00C8437B"/>
    <w:rsid w:val="00C85214"/>
    <w:rsid w:val="00C86934"/>
    <w:rsid w:val="00C87082"/>
    <w:rsid w:val="00C90562"/>
    <w:rsid w:val="00C934F6"/>
    <w:rsid w:val="00C939E8"/>
    <w:rsid w:val="00C94196"/>
    <w:rsid w:val="00C94671"/>
    <w:rsid w:val="00C97E03"/>
    <w:rsid w:val="00CA2E64"/>
    <w:rsid w:val="00CA50B0"/>
    <w:rsid w:val="00CA5585"/>
    <w:rsid w:val="00CA6134"/>
    <w:rsid w:val="00CA6944"/>
    <w:rsid w:val="00CB1DAC"/>
    <w:rsid w:val="00CB7C58"/>
    <w:rsid w:val="00CC6E0D"/>
    <w:rsid w:val="00CD078E"/>
    <w:rsid w:val="00CD1DE9"/>
    <w:rsid w:val="00CD3F26"/>
    <w:rsid w:val="00CE1881"/>
    <w:rsid w:val="00CE3E6D"/>
    <w:rsid w:val="00CE7CCD"/>
    <w:rsid w:val="00CF333C"/>
    <w:rsid w:val="00CF3D6E"/>
    <w:rsid w:val="00CF49E4"/>
    <w:rsid w:val="00CF7728"/>
    <w:rsid w:val="00D05CBC"/>
    <w:rsid w:val="00D067E4"/>
    <w:rsid w:val="00D1152B"/>
    <w:rsid w:val="00D13AFC"/>
    <w:rsid w:val="00D16DFD"/>
    <w:rsid w:val="00D23512"/>
    <w:rsid w:val="00D23BEE"/>
    <w:rsid w:val="00D25F18"/>
    <w:rsid w:val="00D30407"/>
    <w:rsid w:val="00D31739"/>
    <w:rsid w:val="00D4133C"/>
    <w:rsid w:val="00D43D9F"/>
    <w:rsid w:val="00D46564"/>
    <w:rsid w:val="00D46C59"/>
    <w:rsid w:val="00D504C8"/>
    <w:rsid w:val="00D53722"/>
    <w:rsid w:val="00D54F04"/>
    <w:rsid w:val="00D72125"/>
    <w:rsid w:val="00D7648A"/>
    <w:rsid w:val="00D82975"/>
    <w:rsid w:val="00D91E8E"/>
    <w:rsid w:val="00D94DB4"/>
    <w:rsid w:val="00D97BA1"/>
    <w:rsid w:val="00DA2CFE"/>
    <w:rsid w:val="00DA30C3"/>
    <w:rsid w:val="00DB0E57"/>
    <w:rsid w:val="00DB23C0"/>
    <w:rsid w:val="00DB71A3"/>
    <w:rsid w:val="00DC039F"/>
    <w:rsid w:val="00DC6064"/>
    <w:rsid w:val="00DC646A"/>
    <w:rsid w:val="00DD134A"/>
    <w:rsid w:val="00DE6DB4"/>
    <w:rsid w:val="00DF4BDE"/>
    <w:rsid w:val="00DF5F81"/>
    <w:rsid w:val="00DF62D6"/>
    <w:rsid w:val="00DF6CA3"/>
    <w:rsid w:val="00DF6FF4"/>
    <w:rsid w:val="00E024C8"/>
    <w:rsid w:val="00E036A2"/>
    <w:rsid w:val="00E166D3"/>
    <w:rsid w:val="00E23D0B"/>
    <w:rsid w:val="00E24377"/>
    <w:rsid w:val="00E3128C"/>
    <w:rsid w:val="00E3264F"/>
    <w:rsid w:val="00E35BD0"/>
    <w:rsid w:val="00E535DD"/>
    <w:rsid w:val="00E54B0B"/>
    <w:rsid w:val="00E55FB1"/>
    <w:rsid w:val="00E66015"/>
    <w:rsid w:val="00E70D0E"/>
    <w:rsid w:val="00E737E6"/>
    <w:rsid w:val="00E73B31"/>
    <w:rsid w:val="00E80E22"/>
    <w:rsid w:val="00E857B7"/>
    <w:rsid w:val="00E86775"/>
    <w:rsid w:val="00E874AA"/>
    <w:rsid w:val="00E876B2"/>
    <w:rsid w:val="00E90153"/>
    <w:rsid w:val="00E9539A"/>
    <w:rsid w:val="00E96859"/>
    <w:rsid w:val="00E96BBE"/>
    <w:rsid w:val="00E96C29"/>
    <w:rsid w:val="00EA0A4C"/>
    <w:rsid w:val="00EA2C0F"/>
    <w:rsid w:val="00EA2C4A"/>
    <w:rsid w:val="00EA3AEF"/>
    <w:rsid w:val="00EA6CB4"/>
    <w:rsid w:val="00EA6FF5"/>
    <w:rsid w:val="00EB5B03"/>
    <w:rsid w:val="00EC1FBA"/>
    <w:rsid w:val="00EC53AB"/>
    <w:rsid w:val="00ED1FCA"/>
    <w:rsid w:val="00EE27FC"/>
    <w:rsid w:val="00EE4C76"/>
    <w:rsid w:val="00EE577D"/>
    <w:rsid w:val="00EE6E20"/>
    <w:rsid w:val="00EE7078"/>
    <w:rsid w:val="00EF73E7"/>
    <w:rsid w:val="00F00574"/>
    <w:rsid w:val="00F139C9"/>
    <w:rsid w:val="00F15D26"/>
    <w:rsid w:val="00F21B2C"/>
    <w:rsid w:val="00F248CC"/>
    <w:rsid w:val="00F32E61"/>
    <w:rsid w:val="00F359AA"/>
    <w:rsid w:val="00F421EC"/>
    <w:rsid w:val="00F427FF"/>
    <w:rsid w:val="00F442B3"/>
    <w:rsid w:val="00F445B3"/>
    <w:rsid w:val="00F504A5"/>
    <w:rsid w:val="00F5194D"/>
    <w:rsid w:val="00F54553"/>
    <w:rsid w:val="00F55B1F"/>
    <w:rsid w:val="00F55B52"/>
    <w:rsid w:val="00F56CC3"/>
    <w:rsid w:val="00F5767C"/>
    <w:rsid w:val="00F623C3"/>
    <w:rsid w:val="00F628A5"/>
    <w:rsid w:val="00F65930"/>
    <w:rsid w:val="00F708B7"/>
    <w:rsid w:val="00F73386"/>
    <w:rsid w:val="00F74747"/>
    <w:rsid w:val="00F879BB"/>
    <w:rsid w:val="00F93FEC"/>
    <w:rsid w:val="00F94BC7"/>
    <w:rsid w:val="00F95DE1"/>
    <w:rsid w:val="00F96615"/>
    <w:rsid w:val="00F97722"/>
    <w:rsid w:val="00FA2AE9"/>
    <w:rsid w:val="00FA353C"/>
    <w:rsid w:val="00FB05B9"/>
    <w:rsid w:val="00FB0F01"/>
    <w:rsid w:val="00FB571F"/>
    <w:rsid w:val="00FB6722"/>
    <w:rsid w:val="00FC1EC6"/>
    <w:rsid w:val="00FC294D"/>
    <w:rsid w:val="00FE30B7"/>
    <w:rsid w:val="00FE5185"/>
    <w:rsid w:val="00FE5FFF"/>
    <w:rsid w:val="00FE66E8"/>
    <w:rsid w:val="00FF3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BC0A"/>
  <w15:docId w15:val="{C4E77B11-8A6B-45EE-80D2-A9558927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Univers 45 Light" w:eastAsia="Univers 45 Light" w:hAnsi="Univers 45 Light"/>
      <w:b/>
      <w:bCs/>
      <w:sz w:val="20"/>
      <w:szCs w:val="20"/>
    </w:rPr>
  </w:style>
  <w:style w:type="paragraph" w:styleId="Heading2">
    <w:name w:val="heading 2"/>
    <w:basedOn w:val="Normal"/>
    <w:next w:val="Normal"/>
    <w:link w:val="Heading2Char"/>
    <w:uiPriority w:val="9"/>
    <w:semiHidden/>
    <w:unhideWhenUsed/>
    <w:qFormat/>
    <w:rsid w:val="000121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Univers 45 Light" w:eastAsia="Univers 45 Light" w:hAnsi="Univers 45 Light"/>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12D6"/>
    <w:pPr>
      <w:tabs>
        <w:tab w:val="center" w:pos="4153"/>
        <w:tab w:val="right" w:pos="8306"/>
      </w:tabs>
    </w:pPr>
  </w:style>
  <w:style w:type="character" w:customStyle="1" w:styleId="HeaderChar">
    <w:name w:val="Header Char"/>
    <w:basedOn w:val="DefaultParagraphFont"/>
    <w:link w:val="Header"/>
    <w:uiPriority w:val="99"/>
    <w:rsid w:val="000012D6"/>
  </w:style>
  <w:style w:type="paragraph" w:styleId="Footer">
    <w:name w:val="footer"/>
    <w:basedOn w:val="Normal"/>
    <w:link w:val="FooterChar"/>
    <w:uiPriority w:val="99"/>
    <w:unhideWhenUsed/>
    <w:rsid w:val="000012D6"/>
    <w:pPr>
      <w:tabs>
        <w:tab w:val="center" w:pos="4153"/>
        <w:tab w:val="right" w:pos="8306"/>
      </w:tabs>
    </w:pPr>
  </w:style>
  <w:style w:type="character" w:customStyle="1" w:styleId="FooterChar">
    <w:name w:val="Footer Char"/>
    <w:basedOn w:val="DefaultParagraphFont"/>
    <w:link w:val="Footer"/>
    <w:uiPriority w:val="99"/>
    <w:rsid w:val="000012D6"/>
  </w:style>
  <w:style w:type="paragraph" w:styleId="BalloonText">
    <w:name w:val="Balloon Text"/>
    <w:basedOn w:val="Normal"/>
    <w:link w:val="BalloonTextChar"/>
    <w:uiPriority w:val="99"/>
    <w:semiHidden/>
    <w:unhideWhenUsed/>
    <w:rsid w:val="00592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B1D"/>
    <w:rPr>
      <w:rFonts w:ascii="Segoe UI" w:hAnsi="Segoe UI" w:cs="Segoe UI"/>
      <w:sz w:val="18"/>
      <w:szCs w:val="18"/>
    </w:rPr>
  </w:style>
  <w:style w:type="paragraph" w:styleId="NormalWeb">
    <w:name w:val="Normal (Web)"/>
    <w:basedOn w:val="Normal"/>
    <w:uiPriority w:val="99"/>
    <w:unhideWhenUsed/>
    <w:rsid w:val="006F69B0"/>
    <w:pPr>
      <w:widowControl/>
      <w:spacing w:before="100" w:beforeAutospacing="1" w:after="100" w:afterAutospacing="1"/>
    </w:pPr>
    <w:rPr>
      <w:rFonts w:ascii="Times New Roman" w:eastAsia="Times New Roman" w:hAnsi="Times New Roman" w:cs="Times New Roman"/>
      <w:sz w:val="24"/>
      <w:szCs w:val="24"/>
    </w:rPr>
  </w:style>
  <w:style w:type="character" w:customStyle="1" w:styleId="hps">
    <w:name w:val="hps"/>
    <w:basedOn w:val="DefaultParagraphFont"/>
    <w:rsid w:val="00AE63EC"/>
  </w:style>
  <w:style w:type="character" w:styleId="Hyperlink">
    <w:name w:val="Hyperlink"/>
    <w:basedOn w:val="DefaultParagraphFont"/>
    <w:uiPriority w:val="99"/>
    <w:unhideWhenUsed/>
    <w:rsid w:val="00F21B2C"/>
    <w:rPr>
      <w:color w:val="0000FF" w:themeColor="hyperlink"/>
      <w:u w:val="single"/>
    </w:rPr>
  </w:style>
  <w:style w:type="character" w:styleId="Strong">
    <w:name w:val="Strong"/>
    <w:basedOn w:val="DefaultParagraphFont"/>
    <w:uiPriority w:val="22"/>
    <w:qFormat/>
    <w:rsid w:val="007206CA"/>
    <w:rPr>
      <w:b/>
      <w:bCs/>
    </w:rPr>
  </w:style>
  <w:style w:type="character" w:styleId="CommentReference">
    <w:name w:val="annotation reference"/>
    <w:basedOn w:val="DefaultParagraphFont"/>
    <w:uiPriority w:val="99"/>
    <w:semiHidden/>
    <w:rsid w:val="003B37F9"/>
    <w:rPr>
      <w:sz w:val="16"/>
      <w:szCs w:val="16"/>
    </w:rPr>
  </w:style>
  <w:style w:type="paragraph" w:styleId="CommentText">
    <w:name w:val="annotation text"/>
    <w:basedOn w:val="Normal"/>
    <w:link w:val="CommentTextChar"/>
    <w:uiPriority w:val="99"/>
    <w:semiHidden/>
    <w:rsid w:val="003B37F9"/>
    <w:pPr>
      <w:widowControl/>
      <w:spacing w:line="26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B37F9"/>
    <w:rPr>
      <w:rFonts w:ascii="Times New Roman" w:eastAsia="Times New Roman" w:hAnsi="Times New Roman" w:cs="Times New Roman"/>
      <w:sz w:val="20"/>
      <w:szCs w:val="20"/>
    </w:rPr>
  </w:style>
  <w:style w:type="character" w:styleId="Emphasis">
    <w:name w:val="Emphasis"/>
    <w:basedOn w:val="DefaultParagraphFont"/>
    <w:uiPriority w:val="20"/>
    <w:qFormat/>
    <w:rsid w:val="003B37F9"/>
    <w:rPr>
      <w:i/>
      <w:iCs/>
    </w:rPr>
  </w:style>
  <w:style w:type="paragraph" w:customStyle="1" w:styleId="Default">
    <w:name w:val="Default"/>
    <w:basedOn w:val="Normal"/>
    <w:rsid w:val="001724A8"/>
    <w:pPr>
      <w:widowControl/>
      <w:autoSpaceDE w:val="0"/>
      <w:autoSpaceDN w:val="0"/>
    </w:pPr>
    <w:rPr>
      <w:rFonts w:ascii="Garamond" w:eastAsia="Times New Roman" w:hAnsi="Garamond" w:cs="Times New Roman"/>
      <w:color w:val="000000"/>
      <w:sz w:val="24"/>
      <w:szCs w:val="24"/>
      <w:lang w:val="el-GR"/>
    </w:rPr>
  </w:style>
  <w:style w:type="paragraph" w:styleId="ListBullet">
    <w:name w:val="List Bullet"/>
    <w:basedOn w:val="Normal"/>
    <w:uiPriority w:val="99"/>
    <w:unhideWhenUsed/>
    <w:rsid w:val="000C2154"/>
    <w:pPr>
      <w:numPr>
        <w:numId w:val="1"/>
      </w:numPr>
      <w:ind w:left="340"/>
      <w:contextualSpacing/>
    </w:pPr>
  </w:style>
  <w:style w:type="paragraph" w:styleId="NoSpacing">
    <w:name w:val="No Spacing"/>
    <w:uiPriority w:val="1"/>
    <w:qFormat/>
    <w:rsid w:val="0009126D"/>
    <w:pPr>
      <w:widowControl/>
    </w:pPr>
    <w:rPr>
      <w:rFonts w:ascii="Times New Roman" w:hAnsi="Times New Roman"/>
      <w:sz w:val="24"/>
      <w:lang w:val="el-GR"/>
    </w:rPr>
  </w:style>
  <w:style w:type="character" w:customStyle="1" w:styleId="Heading1Char">
    <w:name w:val="Heading 1 Char"/>
    <w:basedOn w:val="DefaultParagraphFont"/>
    <w:link w:val="Heading1"/>
    <w:uiPriority w:val="1"/>
    <w:rsid w:val="008A6ECB"/>
    <w:rPr>
      <w:rFonts w:ascii="Univers 45 Light" w:eastAsia="Univers 45 Light" w:hAnsi="Univers 45 Light"/>
      <w:b/>
      <w:bCs/>
      <w:sz w:val="20"/>
      <w:szCs w:val="20"/>
    </w:rPr>
  </w:style>
  <w:style w:type="character" w:customStyle="1" w:styleId="apple-style-span">
    <w:name w:val="apple-style-span"/>
    <w:basedOn w:val="DefaultParagraphFont"/>
    <w:rsid w:val="008A6ECB"/>
  </w:style>
  <w:style w:type="paragraph" w:styleId="FootnoteText">
    <w:name w:val="footnote text"/>
    <w:basedOn w:val="Normal"/>
    <w:link w:val="FootnoteTextChar"/>
    <w:uiPriority w:val="99"/>
    <w:semiHidden/>
    <w:rsid w:val="00F708B7"/>
    <w:pPr>
      <w:widowControl/>
    </w:pPr>
    <w:rPr>
      <w:rFonts w:ascii="Times New Roman" w:eastAsia="Times New Roman" w:hAnsi="Times New Roman" w:cs="Times New Roman"/>
      <w:sz w:val="20"/>
      <w:szCs w:val="20"/>
      <w:lang w:val="el-GR"/>
    </w:rPr>
  </w:style>
  <w:style w:type="character" w:customStyle="1" w:styleId="FootnoteTextChar">
    <w:name w:val="Footnote Text Char"/>
    <w:basedOn w:val="DefaultParagraphFont"/>
    <w:link w:val="FootnoteText"/>
    <w:uiPriority w:val="99"/>
    <w:semiHidden/>
    <w:rsid w:val="00F708B7"/>
    <w:rPr>
      <w:rFonts w:ascii="Times New Roman" w:eastAsia="Times New Roman" w:hAnsi="Times New Roman" w:cs="Times New Roman"/>
      <w:sz w:val="20"/>
      <w:szCs w:val="20"/>
      <w:lang w:val="el-GR"/>
    </w:rPr>
  </w:style>
  <w:style w:type="character" w:styleId="FootnoteReference">
    <w:name w:val="footnote reference"/>
    <w:basedOn w:val="DefaultParagraphFont"/>
    <w:uiPriority w:val="99"/>
    <w:semiHidden/>
    <w:rsid w:val="00F708B7"/>
    <w:rPr>
      <w:vertAlign w:val="superscript"/>
    </w:rPr>
  </w:style>
  <w:style w:type="paragraph" w:styleId="CommentSubject">
    <w:name w:val="annotation subject"/>
    <w:basedOn w:val="CommentText"/>
    <w:next w:val="CommentText"/>
    <w:link w:val="CommentSubjectChar"/>
    <w:uiPriority w:val="99"/>
    <w:semiHidden/>
    <w:unhideWhenUsed/>
    <w:rsid w:val="00DA2CFE"/>
    <w:pPr>
      <w:widowControl w:val="0"/>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2CF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53E03"/>
    <w:rPr>
      <w:color w:val="605E5C"/>
      <w:shd w:val="clear" w:color="auto" w:fill="E1DFDD"/>
    </w:rPr>
  </w:style>
  <w:style w:type="paragraph" w:customStyle="1" w:styleId="paragraph1">
    <w:name w:val="paragraph1"/>
    <w:basedOn w:val="Normal"/>
    <w:rsid w:val="00255B25"/>
    <w:pPr>
      <w:widowControl/>
      <w:spacing w:after="200" w:line="288" w:lineRule="auto"/>
    </w:pPr>
    <w:rPr>
      <w:rFonts w:ascii="Arial" w:hAnsi="Arial" w:cs="Arial"/>
      <w:sz w:val="19"/>
      <w:szCs w:val="19"/>
      <w:lang w:val="el-GR" w:eastAsia="el-GR"/>
    </w:rPr>
  </w:style>
  <w:style w:type="table" w:styleId="TableGrid">
    <w:name w:val="Table Grid"/>
    <w:basedOn w:val="TableNormal"/>
    <w:uiPriority w:val="39"/>
    <w:rsid w:val="003A182F"/>
    <w:pPr>
      <w:widowControl/>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m-card-speakerjobtitle-item">
    <w:name w:val="bem-card-speaker__jobtitle-item"/>
    <w:basedOn w:val="Normal"/>
    <w:rsid w:val="00661A1D"/>
    <w:pPr>
      <w:widowControl/>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2Char">
    <w:name w:val="Heading 2 Char"/>
    <w:basedOn w:val="DefaultParagraphFont"/>
    <w:link w:val="Heading2"/>
    <w:uiPriority w:val="9"/>
    <w:semiHidden/>
    <w:rsid w:val="0001211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06439"/>
    <w:rPr>
      <w:color w:val="800080" w:themeColor="followedHyperlink"/>
      <w:u w:val="single"/>
    </w:rPr>
  </w:style>
  <w:style w:type="paragraph" w:styleId="Revision">
    <w:name w:val="Revision"/>
    <w:hidden/>
    <w:uiPriority w:val="99"/>
    <w:semiHidden/>
    <w:rsid w:val="00F623C3"/>
    <w:pPr>
      <w:widowControl/>
    </w:pPr>
  </w:style>
  <w:style w:type="paragraph" w:customStyle="1" w:styleId="xmsonormal">
    <w:name w:val="x_msonormal"/>
    <w:basedOn w:val="Normal"/>
    <w:rsid w:val="004552ED"/>
    <w:pPr>
      <w:widowControl/>
    </w:pPr>
    <w:rPr>
      <w:rFonts w:ascii="Calibri" w:hAnsi="Calibri" w:cs="Calibri"/>
      <w:lang w:val="el-GR" w:eastAsia="en-GB"/>
    </w:rPr>
  </w:style>
  <w:style w:type="character" w:customStyle="1" w:styleId="apple-converted-space">
    <w:name w:val="apple-converted-space"/>
    <w:basedOn w:val="DefaultParagraphFont"/>
    <w:rsid w:val="0045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576743244">
      <w:bodyDiv w:val="1"/>
      <w:marLeft w:val="0"/>
      <w:marRight w:val="0"/>
      <w:marTop w:val="0"/>
      <w:marBottom w:val="0"/>
      <w:divBdr>
        <w:top w:val="none" w:sz="0" w:space="0" w:color="auto"/>
        <w:left w:val="none" w:sz="0" w:space="0" w:color="auto"/>
        <w:bottom w:val="none" w:sz="0" w:space="0" w:color="auto"/>
        <w:right w:val="none" w:sz="0" w:space="0" w:color="auto"/>
      </w:divBdr>
    </w:div>
    <w:div w:id="673260214">
      <w:bodyDiv w:val="1"/>
      <w:marLeft w:val="0"/>
      <w:marRight w:val="0"/>
      <w:marTop w:val="0"/>
      <w:marBottom w:val="0"/>
      <w:divBdr>
        <w:top w:val="none" w:sz="0" w:space="0" w:color="auto"/>
        <w:left w:val="none" w:sz="0" w:space="0" w:color="auto"/>
        <w:bottom w:val="none" w:sz="0" w:space="0" w:color="auto"/>
        <w:right w:val="none" w:sz="0" w:space="0" w:color="auto"/>
      </w:divBdr>
    </w:div>
    <w:div w:id="678124974">
      <w:bodyDiv w:val="1"/>
      <w:marLeft w:val="0"/>
      <w:marRight w:val="0"/>
      <w:marTop w:val="0"/>
      <w:marBottom w:val="0"/>
      <w:divBdr>
        <w:top w:val="none" w:sz="0" w:space="0" w:color="auto"/>
        <w:left w:val="none" w:sz="0" w:space="0" w:color="auto"/>
        <w:bottom w:val="none" w:sz="0" w:space="0" w:color="auto"/>
        <w:right w:val="none" w:sz="0" w:space="0" w:color="auto"/>
      </w:divBdr>
    </w:div>
    <w:div w:id="733234293">
      <w:bodyDiv w:val="1"/>
      <w:marLeft w:val="0"/>
      <w:marRight w:val="0"/>
      <w:marTop w:val="0"/>
      <w:marBottom w:val="0"/>
      <w:divBdr>
        <w:top w:val="none" w:sz="0" w:space="0" w:color="auto"/>
        <w:left w:val="none" w:sz="0" w:space="0" w:color="auto"/>
        <w:bottom w:val="none" w:sz="0" w:space="0" w:color="auto"/>
        <w:right w:val="none" w:sz="0" w:space="0" w:color="auto"/>
      </w:divBdr>
    </w:div>
    <w:div w:id="765417422">
      <w:bodyDiv w:val="1"/>
      <w:marLeft w:val="0"/>
      <w:marRight w:val="0"/>
      <w:marTop w:val="0"/>
      <w:marBottom w:val="0"/>
      <w:divBdr>
        <w:top w:val="none" w:sz="0" w:space="0" w:color="auto"/>
        <w:left w:val="none" w:sz="0" w:space="0" w:color="auto"/>
        <w:bottom w:val="none" w:sz="0" w:space="0" w:color="auto"/>
        <w:right w:val="none" w:sz="0" w:space="0" w:color="auto"/>
      </w:divBdr>
    </w:div>
    <w:div w:id="812719622">
      <w:bodyDiv w:val="1"/>
      <w:marLeft w:val="0"/>
      <w:marRight w:val="0"/>
      <w:marTop w:val="0"/>
      <w:marBottom w:val="0"/>
      <w:divBdr>
        <w:top w:val="none" w:sz="0" w:space="0" w:color="auto"/>
        <w:left w:val="none" w:sz="0" w:space="0" w:color="auto"/>
        <w:bottom w:val="none" w:sz="0" w:space="0" w:color="auto"/>
        <w:right w:val="none" w:sz="0" w:space="0" w:color="auto"/>
      </w:divBdr>
    </w:div>
    <w:div w:id="1132481830">
      <w:bodyDiv w:val="1"/>
      <w:marLeft w:val="0"/>
      <w:marRight w:val="0"/>
      <w:marTop w:val="0"/>
      <w:marBottom w:val="0"/>
      <w:divBdr>
        <w:top w:val="none" w:sz="0" w:space="0" w:color="auto"/>
        <w:left w:val="none" w:sz="0" w:space="0" w:color="auto"/>
        <w:bottom w:val="none" w:sz="0" w:space="0" w:color="auto"/>
        <w:right w:val="none" w:sz="0" w:space="0" w:color="auto"/>
      </w:divBdr>
    </w:div>
    <w:div w:id="1353192591">
      <w:bodyDiv w:val="1"/>
      <w:marLeft w:val="0"/>
      <w:marRight w:val="0"/>
      <w:marTop w:val="0"/>
      <w:marBottom w:val="0"/>
      <w:divBdr>
        <w:top w:val="none" w:sz="0" w:space="0" w:color="auto"/>
        <w:left w:val="none" w:sz="0" w:space="0" w:color="auto"/>
        <w:bottom w:val="none" w:sz="0" w:space="0" w:color="auto"/>
        <w:right w:val="none" w:sz="0" w:space="0" w:color="auto"/>
      </w:divBdr>
      <w:divsChild>
        <w:div w:id="628320716">
          <w:marLeft w:val="0"/>
          <w:marRight w:val="0"/>
          <w:marTop w:val="0"/>
          <w:marBottom w:val="0"/>
          <w:divBdr>
            <w:top w:val="none" w:sz="0" w:space="0" w:color="auto"/>
            <w:left w:val="none" w:sz="0" w:space="0" w:color="auto"/>
            <w:bottom w:val="none" w:sz="0" w:space="0" w:color="auto"/>
            <w:right w:val="none" w:sz="0" w:space="0" w:color="auto"/>
          </w:divBdr>
          <w:divsChild>
            <w:div w:id="120691348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447116565">
      <w:bodyDiv w:val="1"/>
      <w:marLeft w:val="0"/>
      <w:marRight w:val="0"/>
      <w:marTop w:val="0"/>
      <w:marBottom w:val="0"/>
      <w:divBdr>
        <w:top w:val="none" w:sz="0" w:space="0" w:color="auto"/>
        <w:left w:val="none" w:sz="0" w:space="0" w:color="auto"/>
        <w:bottom w:val="none" w:sz="0" w:space="0" w:color="auto"/>
        <w:right w:val="none" w:sz="0" w:space="0" w:color="auto"/>
      </w:divBdr>
    </w:div>
    <w:div w:id="1510636908">
      <w:bodyDiv w:val="1"/>
      <w:marLeft w:val="0"/>
      <w:marRight w:val="0"/>
      <w:marTop w:val="0"/>
      <w:marBottom w:val="0"/>
      <w:divBdr>
        <w:top w:val="none" w:sz="0" w:space="0" w:color="auto"/>
        <w:left w:val="none" w:sz="0" w:space="0" w:color="auto"/>
        <w:bottom w:val="none" w:sz="0" w:space="0" w:color="auto"/>
        <w:right w:val="none" w:sz="0" w:space="0" w:color="auto"/>
      </w:divBdr>
    </w:div>
    <w:div w:id="1557084111">
      <w:bodyDiv w:val="1"/>
      <w:marLeft w:val="0"/>
      <w:marRight w:val="0"/>
      <w:marTop w:val="0"/>
      <w:marBottom w:val="0"/>
      <w:divBdr>
        <w:top w:val="none" w:sz="0" w:space="0" w:color="auto"/>
        <w:left w:val="none" w:sz="0" w:space="0" w:color="auto"/>
        <w:bottom w:val="none" w:sz="0" w:space="0" w:color="auto"/>
        <w:right w:val="none" w:sz="0" w:space="0" w:color="auto"/>
      </w:divBdr>
    </w:div>
    <w:div w:id="1597471880">
      <w:bodyDiv w:val="1"/>
      <w:marLeft w:val="0"/>
      <w:marRight w:val="0"/>
      <w:marTop w:val="0"/>
      <w:marBottom w:val="0"/>
      <w:divBdr>
        <w:top w:val="none" w:sz="0" w:space="0" w:color="auto"/>
        <w:left w:val="none" w:sz="0" w:space="0" w:color="auto"/>
        <w:bottom w:val="none" w:sz="0" w:space="0" w:color="auto"/>
        <w:right w:val="none" w:sz="0" w:space="0" w:color="auto"/>
      </w:divBdr>
    </w:div>
    <w:div w:id="1828130303">
      <w:bodyDiv w:val="1"/>
      <w:marLeft w:val="0"/>
      <w:marRight w:val="0"/>
      <w:marTop w:val="0"/>
      <w:marBottom w:val="0"/>
      <w:divBdr>
        <w:top w:val="none" w:sz="0" w:space="0" w:color="auto"/>
        <w:left w:val="none" w:sz="0" w:space="0" w:color="auto"/>
        <w:bottom w:val="none" w:sz="0" w:space="0" w:color="auto"/>
        <w:right w:val="none" w:sz="0" w:space="0" w:color="auto"/>
      </w:divBdr>
    </w:div>
    <w:div w:id="1923054937">
      <w:bodyDiv w:val="1"/>
      <w:marLeft w:val="0"/>
      <w:marRight w:val="0"/>
      <w:marTop w:val="0"/>
      <w:marBottom w:val="0"/>
      <w:divBdr>
        <w:top w:val="none" w:sz="0" w:space="0" w:color="auto"/>
        <w:left w:val="none" w:sz="0" w:space="0" w:color="auto"/>
        <w:bottom w:val="none" w:sz="0" w:space="0" w:color="auto"/>
        <w:right w:val="none" w:sz="0" w:space="0" w:color="auto"/>
      </w:divBdr>
    </w:div>
    <w:div w:id="1964773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kpmg.com/content/dam/kpmg/xx/pdf/2023/11/ttsr-full-report.pdf" TargetMode="External"/><Relationship Id="rId18" Type="http://schemas.openxmlformats.org/officeDocument/2006/relationships/hyperlink" Target="https://www.facebook.com/KPMGGreece" TargetMode="External"/><Relationship Id="rId26" Type="http://schemas.openxmlformats.org/officeDocument/2006/relationships/image" Target="cid:image009.jpg@01D5C6EC.2627C620" TargetMode="External"/><Relationship Id="rId3" Type="http://schemas.openxmlformats.org/officeDocument/2006/relationships/customXml" Target="../customXml/item3.xml"/><Relationship Id="rId21" Type="http://schemas.openxmlformats.org/officeDocument/2006/relationships/hyperlink" Target="https://www.youtube.com/channel/UCLGshyx1-xcsu0LOvFRuu1w" TargetMode="External"/><Relationship Id="rId7" Type="http://schemas.openxmlformats.org/officeDocument/2006/relationships/settings" Target="settings.xml"/><Relationship Id="rId12" Type="http://schemas.openxmlformats.org/officeDocument/2006/relationships/hyperlink" Target="https://assets.kpmg.com/content/dam/kpmg/xx/pdf/2023/11/ttsr-full-report.pdf" TargetMode="External"/><Relationship Id="rId17" Type="http://schemas.openxmlformats.org/officeDocument/2006/relationships/image" Target="cid:image003.jpg@01D5B1AF.83317F70"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cid:image004.jpg@01D5B1AF.83317F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nstagram.com/kpmggreece" TargetMode="External"/><Relationship Id="rId5" Type="http://schemas.openxmlformats.org/officeDocument/2006/relationships/numbering" Target="numbering.xml"/><Relationship Id="rId15" Type="http://schemas.openxmlformats.org/officeDocument/2006/relationships/hyperlink" Target="https://www.linkedin.com/company/kpmg-greece" TargetMode="External"/><Relationship Id="rId23" Type="http://schemas.openxmlformats.org/officeDocument/2006/relationships/image" Target="cid:image005.jpg@01D5B1AF.83317F7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iaravas@kpmg.gr" TargetMode="External"/><Relationship Id="rId22" Type="http://schemas.openxmlformats.org/officeDocument/2006/relationships/image" Target="media/image4.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AE7C84C0B7714E899C31F7A071B418" ma:contentTypeVersion="10" ma:contentTypeDescription="Create a new document." ma:contentTypeScope="" ma:versionID="db33380eb72c45ff8a967d5a6897df46">
  <xsd:schema xmlns:xsd="http://www.w3.org/2001/XMLSchema" xmlns:xs="http://www.w3.org/2001/XMLSchema" xmlns:p="http://schemas.microsoft.com/office/2006/metadata/properties" xmlns:ns3="8f409f53-3d5e-43a5-8be9-a3c3ff9dfe26" targetNamespace="http://schemas.microsoft.com/office/2006/metadata/properties" ma:root="true" ma:fieldsID="8017e45e82bd52ce9b76ac8efbb2e7b8" ns3:_="">
    <xsd:import namespace="8f409f53-3d5e-43a5-8be9-a3c3ff9dfe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9f53-3d5e-43a5-8be9-a3c3ff9d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F5CD2-A35D-4958-8BBA-17A13C83EED7}">
  <ds:schemaRefs>
    <ds:schemaRef ds:uri="http://schemas.openxmlformats.org/officeDocument/2006/bibliography"/>
  </ds:schemaRefs>
</ds:datastoreItem>
</file>

<file path=customXml/itemProps2.xml><?xml version="1.0" encoding="utf-8"?>
<ds:datastoreItem xmlns:ds="http://schemas.openxmlformats.org/officeDocument/2006/customXml" ds:itemID="{8D00158D-C6D6-4550-BCFF-D1C31D1E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84FD3E-037B-4AFC-90A8-4434EA83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9f53-3d5e-43a5-8be9-a3c3ff9d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12C40-20BE-48C0-B45E-FC5E3D5CF61C}">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1665</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Alcibiades Siaravas</dc:creator>
  <cp:lastModifiedBy>Kalamatianou, Danai Agathi</cp:lastModifiedBy>
  <cp:revision>3</cp:revision>
  <dcterms:created xsi:type="dcterms:W3CDTF">2024-01-31T08:33:00Z</dcterms:created>
  <dcterms:modified xsi:type="dcterms:W3CDTF">2024-01-31T08:36:00Z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2015-12-03T00:00:00Z</vt:filetime>
  </property>
  <property fmtid="{D5CDD505-2E9C-101B-9397-08002B2CF9AE}" pid="4" name="ContentTypeId">
    <vt:lpwstr>0x010100CBAE7C84C0B7714E899C31F7A071B418</vt:lpwstr>
  </property>
</Properties>
</file>